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trPr>
          <w:trHeight w:val="1287"/>
          <w:jc w:val="center"/>
        </w:trPr>
        <w:tc>
          <w:tcPr>
            <w:tcW w:w="2667" w:type="dxa"/>
            <w:tcBorders>
              <w:top w:val="nil"/>
              <w:bottom w:val="nil"/>
              <w:right w:val="nil"/>
            </w:tcBorders>
            <w:hideMark/>
          </w:tcPr>
          <w:p w:rsidR="00911084" w:rsidRDefault="006E0C17">
            <w:pPr>
              <w:ind w:hanging="10"/>
              <w:jc w:val="left"/>
            </w:pPr>
            <w:r>
              <w:rPr>
                <w:noProof/>
                <w:lang w:val="de-DE" w:eastAsia="de-DE"/>
              </w:rPr>
              <mc:AlternateContent>
                <mc:Choice Requires="wps">
                  <w:drawing>
                    <wp:anchor distT="4294967295" distB="4294967295" distL="114300" distR="114300" simplePos="0" relativeHeight="251657728" behindDoc="0" locked="0" layoutInCell="1" allowOverlap="1" wp14:anchorId="242EB23A">
                      <wp:simplePos x="0" y="0"/>
                      <wp:positionH relativeFrom="column">
                        <wp:posOffset>-82550</wp:posOffset>
                      </wp:positionH>
                      <wp:positionV relativeFrom="paragraph">
                        <wp:posOffset>621029</wp:posOffset>
                      </wp:positionV>
                      <wp:extent cx="5756910" cy="0"/>
                      <wp:effectExtent l="0" t="0" r="1524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952E38" id="Line 10"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rsidR="00911084" w:rsidRDefault="001C42BF">
            <w:pPr>
              <w:jc w:val="left"/>
            </w:pPr>
            <w:r>
              <w:rPr>
                <w:noProof/>
                <w:lang w:val="de-DE" w:eastAsia="de-DE"/>
              </w:rPr>
              <w:drawing>
                <wp:inline distT="0" distB="0" distL="0" distR="0">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rsidR="00911084" w:rsidRDefault="001C42BF">
            <w:pPr>
              <w:jc w:val="right"/>
            </w:pPr>
            <w:r>
              <w:rPr>
                <w:b/>
                <w:i/>
                <w:sz w:val="48"/>
                <w:szCs w:val="48"/>
              </w:rPr>
              <w:t>E</w:t>
            </w:r>
          </w:p>
        </w:tc>
      </w:tr>
    </w:tbl>
    <w:p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trPr>
          <w:jc w:val="center"/>
        </w:trPr>
        <w:tc>
          <w:tcPr>
            <w:tcW w:w="4692" w:type="dxa"/>
          </w:tcPr>
          <w:p w:rsidR="00911084" w:rsidRDefault="00911084">
            <w:pPr>
              <w:spacing w:line="120" w:lineRule="exact"/>
              <w:jc w:val="left"/>
            </w:pPr>
          </w:p>
          <w:p w:rsidR="00911084" w:rsidRPr="009E52A5" w:rsidRDefault="009E52A5">
            <w:pPr>
              <w:jc w:val="left"/>
              <w:rPr>
                <w:caps/>
                <w:lang w:eastAsia="ja-JP"/>
              </w:rPr>
            </w:pPr>
            <w:bookmarkStart w:id="1" w:name="sub_committee"/>
            <w:bookmarkEnd w:id="1"/>
            <w:r w:rsidRPr="009E52A5">
              <w:rPr>
                <w:rFonts w:hint="eastAsia"/>
                <w:caps/>
                <w:lang w:eastAsia="ja-JP"/>
              </w:rPr>
              <w:t>Joint IMO/ITU experts group on maritime radiocommunication matters</w:t>
            </w:r>
          </w:p>
          <w:p w:rsidR="00911084" w:rsidRDefault="009E52A5">
            <w:pPr>
              <w:jc w:val="left"/>
            </w:pPr>
            <w:bookmarkStart w:id="2" w:name="session"/>
            <w:bookmarkEnd w:id="2"/>
            <w:r>
              <w:rPr>
                <w:rFonts w:hint="eastAsia"/>
                <w:lang w:eastAsia="ja-JP"/>
              </w:rPr>
              <w:t>1</w:t>
            </w:r>
            <w:r w:rsidR="003071F7">
              <w:rPr>
                <w:lang w:eastAsia="ja-JP"/>
              </w:rPr>
              <w:t>8</w:t>
            </w:r>
            <w:r>
              <w:rPr>
                <w:rFonts w:hint="eastAsia"/>
                <w:lang w:eastAsia="ja-JP"/>
              </w:rPr>
              <w:t xml:space="preserve"> </w:t>
            </w:r>
            <w:r w:rsidR="001C42BF">
              <w:t xml:space="preserve">session </w:t>
            </w:r>
          </w:p>
          <w:p w:rsidR="00911084" w:rsidRDefault="001C42BF">
            <w:pPr>
              <w:spacing w:after="58"/>
              <w:jc w:val="left"/>
              <w:rPr>
                <w:lang w:eastAsia="ja-JP"/>
              </w:rPr>
            </w:pPr>
            <w:r>
              <w:t xml:space="preserve">Agenda item </w:t>
            </w:r>
            <w:bookmarkStart w:id="3" w:name="agenda"/>
            <w:bookmarkEnd w:id="3"/>
            <w:r w:rsidR="009E52A5" w:rsidRPr="003071F7">
              <w:rPr>
                <w:rFonts w:hint="eastAsia"/>
                <w:highlight w:val="yellow"/>
                <w:lang w:eastAsia="ja-JP"/>
              </w:rPr>
              <w:t>3</w:t>
            </w:r>
          </w:p>
        </w:tc>
        <w:tc>
          <w:tcPr>
            <w:tcW w:w="4465" w:type="dxa"/>
          </w:tcPr>
          <w:p w:rsidR="00911084" w:rsidRDefault="00911084">
            <w:pPr>
              <w:spacing w:line="120" w:lineRule="exact"/>
              <w:jc w:val="right"/>
            </w:pPr>
          </w:p>
          <w:p w:rsidR="00911084" w:rsidRDefault="009E52A5" w:rsidP="009E52A5">
            <w:pPr>
              <w:tabs>
                <w:tab w:val="clear" w:pos="851"/>
              </w:tabs>
              <w:wordWrap w:val="0"/>
              <w:jc w:val="right"/>
              <w:rPr>
                <w:lang w:eastAsia="ja-JP"/>
              </w:rPr>
            </w:pPr>
            <w:bookmarkStart w:id="4" w:name="symbol"/>
            <w:bookmarkEnd w:id="4"/>
            <w:r>
              <w:rPr>
                <w:rFonts w:hint="eastAsia"/>
                <w:lang w:eastAsia="ja-JP"/>
              </w:rPr>
              <w:t xml:space="preserve">IMO/ITU EG </w:t>
            </w:r>
            <w:r w:rsidRPr="003071F7">
              <w:rPr>
                <w:rFonts w:hint="eastAsia"/>
                <w:highlight w:val="yellow"/>
                <w:lang w:eastAsia="ja-JP"/>
              </w:rPr>
              <w:t>1</w:t>
            </w:r>
            <w:r w:rsidR="003071F7" w:rsidRPr="003071F7">
              <w:rPr>
                <w:highlight w:val="yellow"/>
                <w:lang w:eastAsia="ja-JP"/>
              </w:rPr>
              <w:t>8</w:t>
            </w:r>
            <w:r w:rsidRPr="003071F7">
              <w:rPr>
                <w:rFonts w:hint="eastAsia"/>
                <w:highlight w:val="yellow"/>
                <w:lang w:eastAsia="ja-JP"/>
              </w:rPr>
              <w:t>/3/Y</w:t>
            </w:r>
          </w:p>
          <w:p w:rsidR="00911084" w:rsidRDefault="009E52A5" w:rsidP="00CC53DC">
            <w:pPr>
              <w:tabs>
                <w:tab w:val="clear" w:pos="851"/>
              </w:tabs>
              <w:jc w:val="right"/>
            </w:pPr>
            <w:bookmarkStart w:id="5" w:name="date"/>
            <w:bookmarkEnd w:id="5"/>
            <w:r w:rsidRPr="003071F7">
              <w:rPr>
                <w:rFonts w:hint="eastAsia"/>
                <w:highlight w:val="yellow"/>
                <w:lang w:eastAsia="ja-JP"/>
              </w:rPr>
              <w:t>DD</w:t>
            </w:r>
            <w:r w:rsidR="001C42BF" w:rsidRPr="003071F7">
              <w:rPr>
                <w:highlight w:val="yellow"/>
              </w:rPr>
              <w:t xml:space="preserve"> </w:t>
            </w:r>
            <w:r w:rsidR="003071F7" w:rsidRPr="003071F7">
              <w:rPr>
                <w:highlight w:val="yellow"/>
              </w:rPr>
              <w:t>October</w:t>
            </w:r>
            <w:r w:rsidR="001C42BF" w:rsidRPr="003071F7">
              <w:rPr>
                <w:highlight w:val="yellow"/>
              </w:rPr>
              <w:t xml:space="preserve"> 20</w:t>
            </w:r>
            <w:r w:rsidR="003071F7" w:rsidRPr="003071F7">
              <w:rPr>
                <w:highlight w:val="yellow"/>
              </w:rPr>
              <w:t>22</w:t>
            </w:r>
          </w:p>
          <w:p w:rsidR="00911084" w:rsidRDefault="001C42BF" w:rsidP="009E52A5">
            <w:pPr>
              <w:tabs>
                <w:tab w:val="clear" w:pos="851"/>
              </w:tabs>
              <w:wordWrap w:val="0"/>
              <w:spacing w:after="58"/>
              <w:ind w:left="-924"/>
              <w:jc w:val="right"/>
              <w:rPr>
                <w:lang w:eastAsia="ja-JP"/>
              </w:rPr>
            </w:pPr>
            <w:bookmarkStart w:id="6" w:name="language"/>
            <w:bookmarkEnd w:id="6"/>
            <w:r>
              <w:t>ENGLISH</w:t>
            </w:r>
            <w:r w:rsidR="009E52A5">
              <w:rPr>
                <w:rFonts w:hint="eastAsia"/>
                <w:lang w:eastAsia="ja-JP"/>
              </w:rPr>
              <w:t xml:space="preserve"> ONLY</w:t>
            </w:r>
          </w:p>
          <w:p w:rsidR="00DD2A0C" w:rsidRDefault="00DD2A0C">
            <w:pPr>
              <w:tabs>
                <w:tab w:val="clear" w:pos="851"/>
              </w:tabs>
              <w:spacing w:after="58"/>
              <w:ind w:left="-924"/>
              <w:jc w:val="right"/>
            </w:pPr>
            <w:r>
              <w:t xml:space="preserve">Pre-session public release: </w:t>
            </w:r>
            <w:sdt>
              <w:sdtPr>
                <w:rPr>
                  <w:noProof/>
                  <w:lang w:val="es-ES" w:eastAsia="en-GB"/>
                </w:rPr>
                <w:id w:val="497314832"/>
              </w:sdtPr>
              <w:sdtEndPr/>
              <w:sdtContent>
                <w:r w:rsidR="008A33C5">
                  <w:rPr>
                    <w:rFonts w:ascii="MS Gothic" w:eastAsia="MS Gothic" w:hAnsi="MS Gothic" w:hint="eastAsia"/>
                    <w:noProof/>
                    <w:lang w:val="es-ES" w:eastAsia="en-GB"/>
                  </w:rPr>
                  <w:t>☐</w:t>
                </w:r>
              </w:sdtContent>
            </w:sdt>
          </w:p>
          <w:p w:rsidR="00DD2A0C" w:rsidRDefault="00DD2A0C">
            <w:pPr>
              <w:tabs>
                <w:tab w:val="clear" w:pos="851"/>
              </w:tabs>
              <w:spacing w:after="58"/>
              <w:ind w:left="-924"/>
              <w:jc w:val="right"/>
            </w:pPr>
          </w:p>
        </w:tc>
      </w:tr>
    </w:tbl>
    <w:p w:rsidR="00911084" w:rsidRDefault="00911084" w:rsidP="00DD2A0C">
      <w:pPr>
        <w:tabs>
          <w:tab w:val="clear" w:pos="851"/>
        </w:tabs>
      </w:pPr>
    </w:p>
    <w:p w:rsidR="00572AAC" w:rsidRDefault="009E52A5" w:rsidP="00572AAC">
      <w:pPr>
        <w:tabs>
          <w:tab w:val="clear" w:pos="851"/>
        </w:tabs>
        <w:jc w:val="center"/>
        <w:rPr>
          <w:rFonts w:ascii="Arial Bold" w:hAnsi="Arial Bold" w:hint="eastAsia"/>
          <w:b/>
          <w:caps/>
        </w:rPr>
      </w:pPr>
      <w:r w:rsidRPr="009E52A5">
        <w:rPr>
          <w:rFonts w:ascii="Arial Bold" w:hAnsi="Arial Bold"/>
          <w:b/>
          <w:caps/>
        </w:rPr>
        <w:t>Consideration of matters related to World Radiocommunication Conference 20</w:t>
      </w:r>
      <w:r w:rsidR="00104630">
        <w:rPr>
          <w:rFonts w:ascii="Arial Bold" w:hAnsi="Arial Bold"/>
          <w:b/>
          <w:caps/>
        </w:rPr>
        <w:t>23</w:t>
      </w:r>
      <w:r w:rsidRPr="009E52A5">
        <w:rPr>
          <w:rFonts w:ascii="Arial Bold" w:hAnsi="Arial Bold"/>
          <w:b/>
          <w:caps/>
        </w:rPr>
        <w:t xml:space="preserve"> (WRC-</w:t>
      </w:r>
      <w:r w:rsidR="00104630">
        <w:rPr>
          <w:rFonts w:ascii="Arial Bold" w:hAnsi="Arial Bold"/>
          <w:b/>
          <w:caps/>
        </w:rPr>
        <w:t>23</w:t>
      </w:r>
      <w:r w:rsidRPr="009E52A5">
        <w:rPr>
          <w:rFonts w:ascii="Arial Bold" w:hAnsi="Arial Bold"/>
          <w:b/>
          <w:caps/>
        </w:rPr>
        <w:t>)</w:t>
      </w:r>
    </w:p>
    <w:p w:rsidR="00572AAC" w:rsidRPr="00572AAC" w:rsidRDefault="00572AAC" w:rsidP="00572AAC">
      <w:pPr>
        <w:tabs>
          <w:tab w:val="clear" w:pos="851"/>
        </w:tabs>
        <w:jc w:val="center"/>
        <w:rPr>
          <w:b/>
          <w:lang w:eastAsia="ja-JP"/>
        </w:rPr>
      </w:pPr>
    </w:p>
    <w:p w:rsidR="00572AAC" w:rsidRDefault="00572AAC" w:rsidP="00572AAC">
      <w:pPr>
        <w:tabs>
          <w:tab w:val="clear" w:pos="851"/>
        </w:tabs>
        <w:jc w:val="center"/>
        <w:rPr>
          <w:b/>
          <w:lang w:eastAsia="ja-JP"/>
        </w:rPr>
      </w:pPr>
      <w:r w:rsidRPr="00572AAC">
        <w:rPr>
          <w:b/>
          <w:lang w:eastAsia="ja-JP"/>
        </w:rPr>
        <w:t>Proposal on WRC-23 agenda item 10</w:t>
      </w:r>
      <w:r>
        <w:rPr>
          <w:b/>
          <w:lang w:eastAsia="ja-JP"/>
        </w:rPr>
        <w:t xml:space="preserve"> regarding</w:t>
      </w:r>
      <w:r w:rsidRPr="00572AAC">
        <w:rPr>
          <w:b/>
          <w:lang w:eastAsia="ja-JP"/>
        </w:rPr>
        <w:t xml:space="preserve"> </w:t>
      </w:r>
      <w:r>
        <w:rPr>
          <w:rFonts w:hint="eastAsia"/>
          <w:b/>
          <w:lang w:eastAsia="ja-JP"/>
        </w:rPr>
        <w:t xml:space="preserve">VDES R-Mode </w:t>
      </w:r>
    </w:p>
    <w:p w:rsidR="00911084" w:rsidRDefault="00911084">
      <w:pPr>
        <w:tabs>
          <w:tab w:val="clear" w:pos="851"/>
        </w:tabs>
        <w:jc w:val="center"/>
        <w:rPr>
          <w:rFonts w:ascii="Arial Bold" w:hAnsi="Arial Bold" w:hint="eastAsia"/>
          <w:b/>
          <w:caps/>
        </w:rPr>
      </w:pPr>
    </w:p>
    <w:p w:rsidR="00B0568D" w:rsidRPr="00F67986" w:rsidRDefault="001C42BF" w:rsidP="00B0568D">
      <w:pPr>
        <w:tabs>
          <w:tab w:val="clear" w:pos="851"/>
        </w:tabs>
        <w:jc w:val="center"/>
        <w:rPr>
          <w:b/>
        </w:rPr>
      </w:pPr>
      <w:r>
        <w:rPr>
          <w:b/>
        </w:rPr>
        <w:t>Submitted by</w:t>
      </w:r>
      <w:r w:rsidR="009E52A5">
        <w:rPr>
          <w:rFonts w:hint="eastAsia"/>
          <w:b/>
          <w:lang w:eastAsia="ja-JP"/>
        </w:rPr>
        <w:t xml:space="preserve"> </w:t>
      </w:r>
      <w:r w:rsidR="00B0568D">
        <w:rPr>
          <w:b/>
        </w:rPr>
        <w:t>International Association of Marine Aids to Navigation</w:t>
      </w:r>
      <w:r w:rsidR="00B0568D">
        <w:rPr>
          <w:b/>
        </w:rPr>
        <w:br/>
        <w:t xml:space="preserve"> and Lighthouse Authorities (IALA)</w:t>
      </w:r>
    </w:p>
    <w:p w:rsidR="00911084" w:rsidRDefault="00911084">
      <w:pPr>
        <w:tabs>
          <w:tab w:val="clear" w:pos="851"/>
        </w:tabs>
        <w:jc w:val="center"/>
        <w:rPr>
          <w:b/>
        </w:rPr>
      </w:pPr>
    </w:p>
    <w:p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trPr>
          <w:jc w:val="center"/>
        </w:trPr>
        <w:tc>
          <w:tcPr>
            <w:tcW w:w="9000" w:type="dxa"/>
            <w:gridSpan w:val="2"/>
            <w:tcMar>
              <w:top w:w="85" w:type="dxa"/>
              <w:left w:w="85" w:type="dxa"/>
              <w:bottom w:w="85" w:type="dxa"/>
              <w:right w:w="85" w:type="dxa"/>
            </w:tcMar>
          </w:tcPr>
          <w:p w:rsidR="00911084" w:rsidRDefault="00911084">
            <w:pPr>
              <w:spacing w:line="120" w:lineRule="exact"/>
              <w:rPr>
                <w:bCs/>
              </w:rPr>
            </w:pPr>
          </w:p>
          <w:p w:rsidR="00911084" w:rsidRDefault="001C42BF">
            <w:pPr>
              <w:tabs>
                <w:tab w:val="clear" w:pos="851"/>
              </w:tabs>
              <w:spacing w:after="58"/>
              <w:jc w:val="center"/>
              <w:rPr>
                <w:b/>
              </w:rPr>
            </w:pPr>
            <w:r>
              <w:rPr>
                <w:b/>
              </w:rPr>
              <w:t>SUMMARY</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Executive summary:</w:t>
            </w:r>
          </w:p>
        </w:tc>
        <w:tc>
          <w:tcPr>
            <w:tcW w:w="6755" w:type="dxa"/>
            <w:tcMar>
              <w:top w:w="85" w:type="dxa"/>
              <w:left w:w="85" w:type="dxa"/>
              <w:bottom w:w="85" w:type="dxa"/>
              <w:right w:w="85" w:type="dxa"/>
            </w:tcMar>
          </w:tcPr>
          <w:p w:rsidR="00572AAC" w:rsidRDefault="00104630">
            <w:pPr>
              <w:tabs>
                <w:tab w:val="clear" w:pos="851"/>
              </w:tabs>
              <w:spacing w:after="58"/>
              <w:rPr>
                <w:bCs/>
              </w:rPr>
            </w:pPr>
            <w:bookmarkStart w:id="7" w:name="Execsum"/>
            <w:bookmarkEnd w:id="7"/>
            <w:r w:rsidRPr="00C03C21">
              <w:rPr>
                <w:rFonts w:cs="Arial"/>
              </w:rPr>
              <w:t>Th</w:t>
            </w:r>
            <w:r w:rsidR="00EF75E7" w:rsidRPr="00C03C21">
              <w:rPr>
                <w:rFonts w:cs="Arial"/>
              </w:rPr>
              <w:t>is document</w:t>
            </w:r>
            <w:r w:rsidRPr="00C03C21">
              <w:rPr>
                <w:rFonts w:cs="Arial"/>
              </w:rPr>
              <w:t xml:space="preserve"> provides </w:t>
            </w:r>
            <w:r w:rsidR="00EF75E7" w:rsidRPr="00C03C21">
              <w:rPr>
                <w:rFonts w:cs="Arial"/>
              </w:rPr>
              <w:t>comments on</w:t>
            </w:r>
            <w:r w:rsidRPr="00C03C21">
              <w:rPr>
                <w:rFonts w:cs="Arial"/>
              </w:rPr>
              <w:t xml:space="preserve"> a new approach towards terrestrial </w:t>
            </w:r>
            <w:proofErr w:type="spellStart"/>
            <w:r w:rsidRPr="00C03C21">
              <w:rPr>
                <w:rFonts w:cs="Arial"/>
              </w:rPr>
              <w:t>radionavigation</w:t>
            </w:r>
            <w:proofErr w:type="spellEnd"/>
            <w:r w:rsidRPr="00C03C21">
              <w:rPr>
                <w:rFonts w:cs="Arial"/>
              </w:rPr>
              <w:t xml:space="preserve"> system</w:t>
            </w:r>
            <w:r w:rsidR="00380720" w:rsidRPr="00C03C21">
              <w:rPr>
                <w:rFonts w:cs="Arial"/>
              </w:rPr>
              <w:t>s</w:t>
            </w:r>
            <w:r w:rsidRPr="00C03C21">
              <w:rPr>
                <w:rFonts w:cs="Arial"/>
              </w:rPr>
              <w:t xml:space="preserve"> suitable as stand-alone maritime positioning system</w:t>
            </w:r>
            <w:r w:rsidR="00380720" w:rsidRPr="00C03C21">
              <w:rPr>
                <w:rFonts w:cs="Arial"/>
              </w:rPr>
              <w:t>s</w:t>
            </w:r>
            <w:r w:rsidRPr="00C03C21">
              <w:rPr>
                <w:rFonts w:cs="Arial"/>
              </w:rPr>
              <w:t xml:space="preserve"> and backup system</w:t>
            </w:r>
            <w:r w:rsidR="00380720" w:rsidRPr="00C03C21">
              <w:rPr>
                <w:rFonts w:cs="Arial"/>
              </w:rPr>
              <w:t>s</w:t>
            </w:r>
            <w:r w:rsidRPr="00C03C21">
              <w:rPr>
                <w:rFonts w:cs="Arial"/>
              </w:rPr>
              <w:t xml:space="preserve"> for today’s satellite navigation systems. The R-Mode technology offers a new terrestrial </w:t>
            </w:r>
            <w:proofErr w:type="spellStart"/>
            <w:r w:rsidRPr="00C03C21">
              <w:rPr>
                <w:rFonts w:cs="Arial"/>
              </w:rPr>
              <w:t>radionavigation</w:t>
            </w:r>
            <w:proofErr w:type="spellEnd"/>
            <w:r w:rsidRPr="00C03C21">
              <w:rPr>
                <w:rFonts w:cs="Arial"/>
              </w:rPr>
              <w:t xml:space="preserve"> opportunity by the inauguration of ranging signals or specially designed ranging messages within existing radiocommunication systems.</w:t>
            </w:r>
            <w:r w:rsidR="004A0BE2">
              <w:rPr>
                <w:rFonts w:cs="Arial"/>
              </w:rPr>
              <w:t xml:space="preserve"> It is </w:t>
            </w:r>
            <w:r w:rsidR="00572AAC" w:rsidRPr="00C03C21">
              <w:rPr>
                <w:rFonts w:cs="Arial"/>
              </w:rPr>
              <w:t>propose</w:t>
            </w:r>
            <w:r w:rsidR="004A0BE2">
              <w:rPr>
                <w:rFonts w:cs="Arial"/>
              </w:rPr>
              <w:t>d</w:t>
            </w:r>
            <w:r w:rsidR="00572AAC" w:rsidRPr="00C03C21">
              <w:rPr>
                <w:rFonts w:cs="Arial"/>
              </w:rPr>
              <w:t xml:space="preserve"> </w:t>
            </w:r>
            <w:r w:rsidR="004A0BE2">
              <w:rPr>
                <w:rFonts w:cs="Arial"/>
              </w:rPr>
              <w:t xml:space="preserve">that </w:t>
            </w:r>
            <w:r w:rsidR="00572AAC" w:rsidRPr="00C03C21">
              <w:rPr>
                <w:rFonts w:cs="Arial"/>
              </w:rPr>
              <w:t xml:space="preserve">VDES </w:t>
            </w:r>
            <w:r w:rsidR="004A0BE2" w:rsidRPr="008466DA">
              <w:rPr>
                <w:rFonts w:cs="Arial"/>
              </w:rPr>
              <w:t>Ranging-Mode</w:t>
            </w:r>
            <w:r w:rsidR="004A0BE2" w:rsidRPr="00C03C21">
              <w:rPr>
                <w:rFonts w:cs="Arial"/>
              </w:rPr>
              <w:t xml:space="preserve"> (</w:t>
            </w:r>
            <w:r w:rsidR="00572AAC" w:rsidRPr="00C03C21">
              <w:rPr>
                <w:rFonts w:cs="Arial"/>
              </w:rPr>
              <w:t>R-Mode</w:t>
            </w:r>
            <w:r w:rsidR="004A0BE2" w:rsidRPr="00C03C21">
              <w:rPr>
                <w:rFonts w:cs="Arial"/>
              </w:rPr>
              <w:t>)</w:t>
            </w:r>
            <w:r w:rsidR="00572AAC" w:rsidRPr="00C03C21">
              <w:rPr>
                <w:rFonts w:cs="Arial"/>
              </w:rPr>
              <w:t xml:space="preserve"> </w:t>
            </w:r>
            <w:r w:rsidR="00380720" w:rsidRPr="00C03C21">
              <w:rPr>
                <w:rFonts w:cs="Arial"/>
              </w:rPr>
              <w:t xml:space="preserve">be included in </w:t>
            </w:r>
            <w:r w:rsidR="00572AAC" w:rsidRPr="00C03C21">
              <w:rPr>
                <w:rFonts w:cs="Arial"/>
              </w:rPr>
              <w:t>the draft IMO position on WRC-23 agenda item 10</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8" w:name="StraDir"/>
            <w:bookmarkEnd w:id="8"/>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Output:</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9" w:name="PlanOut"/>
            <w:bookmarkEnd w:id="9"/>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Action to be taken:</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10" w:name="Action"/>
            <w:bookmarkEnd w:id="10"/>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Related documents:</w:t>
            </w:r>
          </w:p>
        </w:tc>
        <w:tc>
          <w:tcPr>
            <w:tcW w:w="6755" w:type="dxa"/>
            <w:tcMar>
              <w:top w:w="85" w:type="dxa"/>
              <w:left w:w="85" w:type="dxa"/>
              <w:bottom w:w="85" w:type="dxa"/>
              <w:right w:w="85" w:type="dxa"/>
            </w:tcMar>
          </w:tcPr>
          <w:p w:rsidR="00911084" w:rsidRDefault="00104630" w:rsidP="005D58CB">
            <w:pPr>
              <w:tabs>
                <w:tab w:val="clear" w:pos="851"/>
              </w:tabs>
              <w:spacing w:after="58"/>
              <w:rPr>
                <w:bCs/>
                <w:lang w:eastAsia="ja-JP"/>
              </w:rPr>
            </w:pPr>
            <w:bookmarkStart w:id="11" w:name="Reldoc"/>
            <w:bookmarkEnd w:id="11"/>
            <w:r>
              <w:rPr>
                <w:bCs/>
              </w:rPr>
              <w:t xml:space="preserve">Resolution </w:t>
            </w:r>
            <w:r w:rsidRPr="00A031B4">
              <w:t xml:space="preserve">A.915(22), </w:t>
            </w:r>
            <w:r>
              <w:t>and</w:t>
            </w:r>
            <w:r w:rsidRPr="00A031B4">
              <w:t xml:space="preserve"> A.1046(27), </w:t>
            </w:r>
            <w:r>
              <w:t>MSC.401(95),</w:t>
            </w:r>
            <w:r w:rsidRPr="00A031B4">
              <w:t xml:space="preserve"> </w:t>
            </w:r>
            <w:r w:rsidRPr="00C9193C">
              <w:t>MSC.432(98), MSC.1/Circ.1575</w:t>
            </w:r>
            <w:r w:rsidR="005D58CB">
              <w:t>,</w:t>
            </w:r>
            <w:r w:rsidRPr="00C9193C">
              <w:t xml:space="preserve"> SN.1/Circ.3</w:t>
            </w:r>
            <w:r w:rsidRPr="00CB089F">
              <w:t>29</w:t>
            </w:r>
            <w:r w:rsidR="005D58CB">
              <w:t>,</w:t>
            </w:r>
            <w:r w:rsidRPr="00CB089F">
              <w:t xml:space="preserve"> SN.1/Circ.334</w:t>
            </w:r>
            <w:r w:rsidR="005D58CB">
              <w:t>,</w:t>
            </w:r>
            <w:r w:rsidR="00621BB1">
              <w:t xml:space="preserve"> </w:t>
            </w:r>
            <w:r w:rsidR="005D58CB">
              <w:t>MSC 105-INF.10</w:t>
            </w:r>
            <w:r w:rsidR="00260C76">
              <w:t>, NCSR 9/24, NCSR 9/WP.5</w:t>
            </w:r>
          </w:p>
        </w:tc>
      </w:tr>
    </w:tbl>
    <w:p w:rsidR="00911084" w:rsidRDefault="00911084">
      <w:pPr>
        <w:tabs>
          <w:tab w:val="clear" w:pos="851"/>
        </w:tabs>
      </w:pPr>
    </w:p>
    <w:p w:rsidR="00911084" w:rsidRPr="00116F1F" w:rsidRDefault="00116F1F">
      <w:pPr>
        <w:tabs>
          <w:tab w:val="clear" w:pos="851"/>
        </w:tabs>
        <w:rPr>
          <w:b/>
          <w:lang w:eastAsia="ja-JP"/>
        </w:rPr>
      </w:pPr>
      <w:bookmarkStart w:id="12" w:name="main_document"/>
      <w:bookmarkEnd w:id="12"/>
      <w:r>
        <w:rPr>
          <w:rFonts w:hint="eastAsia"/>
          <w:b/>
          <w:lang w:eastAsia="ja-JP"/>
        </w:rPr>
        <w:t>Introduction</w:t>
      </w:r>
    </w:p>
    <w:p w:rsidR="00B0568D" w:rsidRDefault="00B0568D">
      <w:pPr>
        <w:tabs>
          <w:tab w:val="clear" w:pos="851"/>
        </w:tabs>
        <w:rPr>
          <w:lang w:eastAsia="ja-JP"/>
        </w:rPr>
      </w:pPr>
    </w:p>
    <w:p w:rsidR="00B0568D" w:rsidRDefault="00116F1F" w:rsidP="00B0568D">
      <w:pPr>
        <w:tabs>
          <w:tab w:val="clear" w:pos="851"/>
        </w:tabs>
        <w:rPr>
          <w:lang w:eastAsia="ja-JP"/>
        </w:rPr>
      </w:pPr>
      <w:r>
        <w:rPr>
          <w:rFonts w:hint="eastAsia"/>
          <w:lang w:eastAsia="ja-JP"/>
        </w:rPr>
        <w:t>1</w:t>
      </w:r>
      <w:r>
        <w:rPr>
          <w:rFonts w:hint="eastAsia"/>
          <w:lang w:eastAsia="ja-JP"/>
        </w:rPr>
        <w:tab/>
      </w:r>
      <w:r w:rsidR="00B0568D">
        <w:rPr>
          <w:lang w:eastAsia="ja-JP"/>
        </w:rPr>
        <w:t>At its seventeenth meeting, the Joint IMO/ITU Expert Group on Maritime Radiocommunication Matters (EG</w:t>
      </w:r>
      <w:r w:rsidR="0003349A">
        <w:rPr>
          <w:lang w:eastAsia="ja-JP"/>
        </w:rPr>
        <w:t xml:space="preserve"> 17</w:t>
      </w:r>
      <w:r w:rsidR="00B0568D">
        <w:rPr>
          <w:lang w:eastAsia="ja-JP"/>
        </w:rPr>
        <w:t xml:space="preserve">) invited interested Member States and organizations to submit proposals to </w:t>
      </w:r>
      <w:r w:rsidR="00380720">
        <w:rPr>
          <w:lang w:eastAsia="ja-JP"/>
        </w:rPr>
        <w:t>the ninth session of the NCSR Sub-Committee (</w:t>
      </w:r>
      <w:r w:rsidR="00B0568D">
        <w:rPr>
          <w:lang w:eastAsia="ja-JP"/>
        </w:rPr>
        <w:t>NCSR 9</w:t>
      </w:r>
      <w:r w:rsidR="00380720">
        <w:rPr>
          <w:lang w:eastAsia="ja-JP"/>
        </w:rPr>
        <w:t>)</w:t>
      </w:r>
      <w:r w:rsidR="00B0568D">
        <w:rPr>
          <w:lang w:eastAsia="ja-JP"/>
        </w:rPr>
        <w:t xml:space="preserve"> for inclusion in the draft IMO position for WRC-23 agenda item 10 (NCSR 9/12, annex, paragraph 4.25)</w:t>
      </w:r>
      <w:r w:rsidR="00EF75E7">
        <w:rPr>
          <w:lang w:eastAsia="ja-JP"/>
        </w:rPr>
        <w:t>.</w:t>
      </w:r>
    </w:p>
    <w:p w:rsidR="00260C76" w:rsidRDefault="00260C76" w:rsidP="00B0568D">
      <w:pPr>
        <w:tabs>
          <w:tab w:val="clear" w:pos="851"/>
        </w:tabs>
        <w:rPr>
          <w:lang w:eastAsia="ja-JP"/>
        </w:rPr>
      </w:pPr>
    </w:p>
    <w:p w:rsidR="00B0568D" w:rsidRDefault="00B0568D" w:rsidP="00B0568D">
      <w:pPr>
        <w:tabs>
          <w:tab w:val="clear" w:pos="851"/>
        </w:tabs>
        <w:ind w:left="851" w:hanging="851"/>
        <w:rPr>
          <w:lang w:eastAsia="ja-JP"/>
        </w:rPr>
      </w:pPr>
      <w:r>
        <w:rPr>
          <w:lang w:eastAsia="ja-JP"/>
        </w:rPr>
        <w:t>2</w:t>
      </w:r>
      <w:r>
        <w:rPr>
          <w:lang w:eastAsia="ja-JP"/>
        </w:rPr>
        <w:tab/>
      </w:r>
      <w:r w:rsidR="00CC0EA0">
        <w:rPr>
          <w:rFonts w:hint="eastAsia"/>
          <w:lang w:eastAsia="ja-JP"/>
        </w:rPr>
        <w:t>IALA submitted a</w:t>
      </w:r>
      <w:r>
        <w:rPr>
          <w:lang w:eastAsia="ja-JP"/>
        </w:rPr>
        <w:t xml:space="preserve">n input paper on “Response to matters related to the ITU-R study </w:t>
      </w:r>
    </w:p>
    <w:p w:rsidR="00380720" w:rsidRDefault="00B0568D" w:rsidP="00380720">
      <w:pPr>
        <w:tabs>
          <w:tab w:val="clear" w:pos="851"/>
        </w:tabs>
        <w:rPr>
          <w:lang w:eastAsia="ja-JP"/>
        </w:rPr>
      </w:pPr>
      <w:r>
        <w:rPr>
          <w:lang w:eastAsia="ja-JP"/>
        </w:rPr>
        <w:t xml:space="preserve">groups and ITU </w:t>
      </w:r>
      <w:r w:rsidR="00380720">
        <w:rPr>
          <w:lang w:eastAsia="ja-JP"/>
        </w:rPr>
        <w:t>W</w:t>
      </w:r>
      <w:r>
        <w:rPr>
          <w:lang w:eastAsia="ja-JP"/>
        </w:rPr>
        <w:t xml:space="preserve">orld </w:t>
      </w:r>
      <w:r w:rsidR="00380720">
        <w:rPr>
          <w:lang w:eastAsia="ja-JP"/>
        </w:rPr>
        <w:t>R</w:t>
      </w:r>
      <w:r>
        <w:rPr>
          <w:lang w:eastAsia="ja-JP"/>
        </w:rPr>
        <w:t xml:space="preserve">adiocommunication </w:t>
      </w:r>
      <w:r w:rsidR="00380720">
        <w:rPr>
          <w:lang w:eastAsia="ja-JP"/>
        </w:rPr>
        <w:t>C</w:t>
      </w:r>
      <w:r>
        <w:rPr>
          <w:lang w:eastAsia="ja-JP"/>
        </w:rPr>
        <w:t>onference (Proposal on WRC-23 agenda item 10)</w:t>
      </w:r>
      <w:r w:rsidR="00380720">
        <w:rPr>
          <w:lang w:eastAsia="ja-JP"/>
        </w:rPr>
        <w:t xml:space="preserve"> to NCSR 9</w:t>
      </w:r>
    </w:p>
    <w:p w:rsidR="004A0BE2" w:rsidRPr="00474E6F" w:rsidRDefault="004A0BE2" w:rsidP="00380720">
      <w:pPr>
        <w:tabs>
          <w:tab w:val="clear" w:pos="851"/>
        </w:tabs>
        <w:rPr>
          <w:lang w:eastAsia="ja-JP"/>
        </w:rPr>
      </w:pPr>
    </w:p>
    <w:p w:rsidR="00116F1F" w:rsidRPr="00720BA4" w:rsidRDefault="00720BA4" w:rsidP="00720BA4">
      <w:pPr>
        <w:pStyle w:val="Listenabsatz"/>
        <w:widowControl w:val="0"/>
        <w:numPr>
          <w:ilvl w:val="0"/>
          <w:numId w:val="10"/>
        </w:numPr>
        <w:tabs>
          <w:tab w:val="clear" w:pos="851"/>
        </w:tabs>
        <w:autoSpaceDE w:val="0"/>
        <w:autoSpaceDN w:val="0"/>
        <w:adjustRightInd w:val="0"/>
        <w:ind w:leftChars="0"/>
        <w:jc w:val="left"/>
        <w:rPr>
          <w:lang w:eastAsia="ja-JP"/>
        </w:rPr>
      </w:pPr>
      <w:r w:rsidRPr="00720BA4">
        <w:rPr>
          <w:rFonts w:cs="Arial"/>
          <w:szCs w:val="22"/>
          <w:lang w:val="en-US" w:eastAsia="zh-CN"/>
        </w:rPr>
        <w:t>providing a means to accommodate digital systems in the VHF maritime mobile</w:t>
      </w:r>
      <w:r>
        <w:rPr>
          <w:rFonts w:cs="Arial" w:hint="eastAsia"/>
          <w:szCs w:val="22"/>
          <w:lang w:val="en-US" w:eastAsia="ja-JP"/>
        </w:rPr>
        <w:t xml:space="preserve"> </w:t>
      </w:r>
      <w:r w:rsidRPr="00720BA4">
        <w:rPr>
          <w:rFonts w:cs="Arial"/>
          <w:szCs w:val="22"/>
          <w:lang w:val="en-US" w:eastAsia="zh-CN"/>
        </w:rPr>
        <w:t>band, which would include digital voice;</w:t>
      </w:r>
      <w:r>
        <w:rPr>
          <w:rFonts w:cs="Arial" w:hint="eastAsia"/>
          <w:szCs w:val="22"/>
          <w:lang w:val="en-US" w:eastAsia="ja-JP"/>
        </w:rPr>
        <w:br/>
      </w:r>
    </w:p>
    <w:p w:rsidR="00720BA4" w:rsidRPr="00CC0EA0" w:rsidRDefault="00720BA4" w:rsidP="00720BA4">
      <w:pPr>
        <w:pStyle w:val="Listenabsatz"/>
        <w:widowControl w:val="0"/>
        <w:numPr>
          <w:ilvl w:val="0"/>
          <w:numId w:val="10"/>
        </w:numPr>
        <w:tabs>
          <w:tab w:val="clear" w:pos="851"/>
        </w:tabs>
        <w:autoSpaceDE w:val="0"/>
        <w:autoSpaceDN w:val="0"/>
        <w:adjustRightInd w:val="0"/>
        <w:ind w:leftChars="0"/>
        <w:jc w:val="left"/>
        <w:rPr>
          <w:lang w:eastAsia="ja-JP"/>
        </w:rPr>
      </w:pPr>
      <w:r>
        <w:rPr>
          <w:rFonts w:cs="Arial"/>
          <w:szCs w:val="22"/>
          <w:lang w:val="en-US" w:eastAsia="zh-CN"/>
        </w:rPr>
        <w:t xml:space="preserve">providing a </w:t>
      </w:r>
      <w:proofErr w:type="spellStart"/>
      <w:r>
        <w:rPr>
          <w:rFonts w:cs="Arial"/>
          <w:szCs w:val="22"/>
          <w:lang w:val="en-US" w:eastAsia="zh-CN"/>
        </w:rPr>
        <w:t>radionavigation</w:t>
      </w:r>
      <w:proofErr w:type="spellEnd"/>
      <w:r>
        <w:rPr>
          <w:rFonts w:cs="Arial"/>
          <w:szCs w:val="22"/>
          <w:lang w:val="en-US" w:eastAsia="zh-CN"/>
        </w:rPr>
        <w:t xml:space="preserve"> allocation for VDES </w:t>
      </w:r>
      <w:r w:rsidR="004A0BE2" w:rsidRPr="00372DAD">
        <w:t>Ranging-Mode</w:t>
      </w:r>
      <w:r w:rsidR="004A0BE2">
        <w:rPr>
          <w:rFonts w:cs="Arial"/>
          <w:szCs w:val="22"/>
          <w:lang w:val="en-US" w:eastAsia="zh-CN"/>
        </w:rPr>
        <w:t xml:space="preserve"> (</w:t>
      </w:r>
      <w:r>
        <w:rPr>
          <w:rFonts w:cs="Arial"/>
          <w:szCs w:val="22"/>
          <w:lang w:val="en-US" w:eastAsia="zh-CN"/>
        </w:rPr>
        <w:t>R-Mode</w:t>
      </w:r>
      <w:r w:rsidR="004A0BE2">
        <w:rPr>
          <w:rFonts w:cs="Arial"/>
          <w:szCs w:val="22"/>
          <w:lang w:val="en-US" w:eastAsia="zh-CN"/>
        </w:rPr>
        <w:t>)</w:t>
      </w:r>
      <w:r>
        <w:rPr>
          <w:rFonts w:cs="Arial"/>
          <w:szCs w:val="22"/>
          <w:lang w:val="en-US" w:eastAsia="zh-CN"/>
        </w:rPr>
        <w:t xml:space="preserve"> to support</w:t>
      </w:r>
      <w:r>
        <w:rPr>
          <w:rFonts w:cs="Arial" w:hint="eastAsia"/>
          <w:szCs w:val="22"/>
          <w:lang w:val="en-US" w:eastAsia="ja-JP"/>
        </w:rPr>
        <w:t xml:space="preserve"> resilient position, navigation and timing.</w:t>
      </w:r>
    </w:p>
    <w:p w:rsidR="00CF201E" w:rsidRDefault="00CF201E">
      <w:pPr>
        <w:tabs>
          <w:tab w:val="clear" w:pos="851"/>
        </w:tabs>
        <w:rPr>
          <w:lang w:eastAsia="ja-JP"/>
        </w:rPr>
      </w:pPr>
    </w:p>
    <w:p w:rsidR="00C23D42" w:rsidRDefault="00C23D42" w:rsidP="00B0568D">
      <w:pPr>
        <w:tabs>
          <w:tab w:val="clear" w:pos="851"/>
        </w:tabs>
      </w:pPr>
      <w:r>
        <w:rPr>
          <w:lang w:eastAsia="ja-JP"/>
        </w:rPr>
        <w:t>3</w:t>
      </w:r>
      <w:r>
        <w:rPr>
          <w:lang w:eastAsia="ja-JP"/>
        </w:rPr>
        <w:tab/>
      </w:r>
      <w:r w:rsidR="00260C76">
        <w:rPr>
          <w:lang w:eastAsia="ja-JP"/>
        </w:rPr>
        <w:t xml:space="preserve">The </w:t>
      </w:r>
      <w:r w:rsidR="00260C76" w:rsidRPr="00260C76">
        <w:rPr>
          <w:lang w:eastAsia="ja-JP"/>
        </w:rPr>
        <w:t>Working Group on Communications</w:t>
      </w:r>
      <w:r w:rsidR="00260C76">
        <w:rPr>
          <w:lang w:eastAsia="ja-JP"/>
        </w:rPr>
        <w:t xml:space="preserve"> at </w:t>
      </w:r>
      <w:r w:rsidRPr="00BC6636">
        <w:t>NCSR 9</w:t>
      </w:r>
      <w:r>
        <w:t xml:space="preserve"> considered </w:t>
      </w:r>
      <w:r w:rsidRPr="00BC6636">
        <w:t>the development of the draft IMO position on WRC-23 agenda item 10 based on the proposals in documents NCSR 9/12/6 and NCSR 9/12/9 with respect to the introduction of digital voice radiotelephony in the VHF maritime mobile band and VDES R-Mode, as appropriate</w:t>
      </w:r>
      <w:r>
        <w:t xml:space="preserve">. </w:t>
      </w:r>
      <w:r w:rsidR="004A0BE2">
        <w:t>In this regard, v</w:t>
      </w:r>
      <w:r w:rsidR="00260C76">
        <w:t xml:space="preserve">iews </w:t>
      </w:r>
      <w:r w:rsidR="00EF75E7">
        <w:t>have been</w:t>
      </w:r>
      <w:r w:rsidR="00260C76">
        <w:t xml:space="preserve"> expressed as follows</w:t>
      </w:r>
      <w:r>
        <w:t>:</w:t>
      </w:r>
    </w:p>
    <w:p w:rsidR="00C23D42" w:rsidRDefault="00C23D42" w:rsidP="00B0568D">
      <w:pPr>
        <w:tabs>
          <w:tab w:val="clear" w:pos="851"/>
        </w:tabs>
      </w:pPr>
    </w:p>
    <w:p w:rsidR="00C23D42" w:rsidRDefault="00EF75E7" w:rsidP="00C23D42">
      <w:pPr>
        <w:pStyle w:val="Listenabsatz"/>
        <w:widowControl w:val="0"/>
        <w:numPr>
          <w:ilvl w:val="0"/>
          <w:numId w:val="10"/>
        </w:numPr>
        <w:tabs>
          <w:tab w:val="clear" w:pos="851"/>
        </w:tabs>
        <w:autoSpaceDE w:val="0"/>
        <w:autoSpaceDN w:val="0"/>
        <w:adjustRightInd w:val="0"/>
        <w:ind w:leftChars="0"/>
        <w:jc w:val="left"/>
        <w:rPr>
          <w:rFonts w:cs="Arial"/>
          <w:szCs w:val="22"/>
          <w:lang w:val="en-US" w:eastAsia="zh-CN"/>
        </w:rPr>
      </w:pPr>
      <w:r>
        <w:rPr>
          <w:rFonts w:cs="Arial"/>
          <w:szCs w:val="22"/>
          <w:lang w:val="en-US" w:eastAsia="zh-CN"/>
        </w:rPr>
        <w:t>N</w:t>
      </w:r>
      <w:r w:rsidR="00260C76">
        <w:rPr>
          <w:rFonts w:cs="Arial"/>
          <w:szCs w:val="22"/>
          <w:lang w:val="en-US" w:eastAsia="zh-CN"/>
        </w:rPr>
        <w:t xml:space="preserve">oting </w:t>
      </w:r>
      <w:r w:rsidR="00C23D42" w:rsidRPr="00C23D42">
        <w:rPr>
          <w:rFonts w:cs="Arial"/>
          <w:szCs w:val="22"/>
          <w:lang w:val="en-US" w:eastAsia="zh-CN"/>
        </w:rPr>
        <w:t xml:space="preserve">that the VHF frequencies under discussion are already allocated to radiocommunication services, the required regulatory action by WRC-27 would include development of a new allocation to </w:t>
      </w:r>
      <w:proofErr w:type="spellStart"/>
      <w:r w:rsidR="00C23D42" w:rsidRPr="00C23D42">
        <w:rPr>
          <w:rFonts w:cs="Arial"/>
          <w:szCs w:val="22"/>
          <w:lang w:val="en-US" w:eastAsia="zh-CN"/>
        </w:rPr>
        <w:t>radionavigation</w:t>
      </w:r>
      <w:proofErr w:type="spellEnd"/>
      <w:r w:rsidR="00C23D42" w:rsidRPr="00C23D42">
        <w:rPr>
          <w:rFonts w:cs="Arial"/>
          <w:szCs w:val="22"/>
          <w:lang w:val="en-US" w:eastAsia="zh-CN"/>
        </w:rPr>
        <w:t>, i.e. the amendment of Article 5 and Appendix 18 of the ITU-R Radio Regulations;</w:t>
      </w:r>
    </w:p>
    <w:p w:rsidR="00C23D42" w:rsidRDefault="00C23D42" w:rsidP="00C23D42">
      <w:pPr>
        <w:pStyle w:val="Listenabsatz"/>
        <w:widowControl w:val="0"/>
        <w:tabs>
          <w:tab w:val="clear" w:pos="851"/>
        </w:tabs>
        <w:autoSpaceDE w:val="0"/>
        <w:autoSpaceDN w:val="0"/>
        <w:adjustRightInd w:val="0"/>
        <w:ind w:leftChars="0" w:left="1271"/>
        <w:jc w:val="left"/>
        <w:rPr>
          <w:rFonts w:cs="Arial"/>
          <w:szCs w:val="22"/>
          <w:lang w:val="en-US" w:eastAsia="zh-CN"/>
        </w:rPr>
      </w:pPr>
    </w:p>
    <w:p w:rsidR="00C23D42" w:rsidRPr="00C23D42" w:rsidRDefault="00C23D42" w:rsidP="00C23D42">
      <w:pPr>
        <w:pStyle w:val="Listenabsatz"/>
        <w:widowControl w:val="0"/>
        <w:numPr>
          <w:ilvl w:val="0"/>
          <w:numId w:val="10"/>
        </w:numPr>
        <w:tabs>
          <w:tab w:val="clear" w:pos="851"/>
        </w:tabs>
        <w:autoSpaceDE w:val="0"/>
        <w:autoSpaceDN w:val="0"/>
        <w:adjustRightInd w:val="0"/>
        <w:ind w:leftChars="0"/>
        <w:jc w:val="left"/>
        <w:rPr>
          <w:rFonts w:cs="Arial"/>
          <w:szCs w:val="22"/>
          <w:lang w:val="en-US" w:eastAsia="zh-CN"/>
        </w:rPr>
      </w:pPr>
      <w:r w:rsidRPr="00C23D42">
        <w:t>R-</w:t>
      </w:r>
      <w:r>
        <w:t>M</w:t>
      </w:r>
      <w:r w:rsidRPr="00C23D42">
        <w:t>ode, as an integrated part of VDES, would use the existing frequencies of VDES, therefore it would not cause interference to other systems, but it would reduce the VDES data transfer capacity to a certain degree; and</w:t>
      </w:r>
    </w:p>
    <w:p w:rsidR="00C23D42" w:rsidRDefault="00C23D42" w:rsidP="00C23D42">
      <w:pPr>
        <w:pStyle w:val="Listenabsatz"/>
        <w:ind w:left="880"/>
      </w:pPr>
    </w:p>
    <w:p w:rsidR="00C23D42" w:rsidRPr="00C23D42" w:rsidRDefault="00C23D42" w:rsidP="00C23D42">
      <w:pPr>
        <w:pStyle w:val="Listenabsatz"/>
        <w:widowControl w:val="0"/>
        <w:numPr>
          <w:ilvl w:val="0"/>
          <w:numId w:val="10"/>
        </w:numPr>
        <w:tabs>
          <w:tab w:val="clear" w:pos="851"/>
        </w:tabs>
        <w:autoSpaceDE w:val="0"/>
        <w:autoSpaceDN w:val="0"/>
        <w:adjustRightInd w:val="0"/>
        <w:ind w:leftChars="0"/>
        <w:jc w:val="left"/>
        <w:rPr>
          <w:rFonts w:cs="Arial"/>
          <w:szCs w:val="22"/>
          <w:lang w:val="en-US" w:eastAsia="zh-CN"/>
        </w:rPr>
      </w:pPr>
      <w:r w:rsidRPr="00C23D42">
        <w:t>ITU would need to develop relevant studies to support VDES R-Mode.</w:t>
      </w:r>
    </w:p>
    <w:p w:rsidR="00C23D42" w:rsidRDefault="00C23D42" w:rsidP="00B0568D">
      <w:pPr>
        <w:tabs>
          <w:tab w:val="clear" w:pos="851"/>
        </w:tabs>
        <w:rPr>
          <w:lang w:eastAsia="ja-JP"/>
        </w:rPr>
      </w:pPr>
    </w:p>
    <w:p w:rsidR="008603A2" w:rsidRDefault="008603A2" w:rsidP="006B4C0F">
      <w:pPr>
        <w:pStyle w:val="NurText"/>
        <w:rPr>
          <w:rFonts w:ascii="Arial" w:eastAsiaTheme="minorEastAsia" w:hAnsi="Arial" w:cs="Times New Roman"/>
          <w:szCs w:val="20"/>
          <w:lang w:val="en-GB"/>
        </w:rPr>
      </w:pPr>
      <w:r w:rsidRPr="00C03C21">
        <w:rPr>
          <w:lang w:val="en-GB" w:eastAsia="ja-JP"/>
        </w:rPr>
        <w:t>4</w:t>
      </w:r>
      <w:r w:rsidRPr="00C03C21">
        <w:rPr>
          <w:lang w:val="en-GB" w:eastAsia="ja-JP"/>
        </w:rPr>
        <w:tab/>
      </w:r>
      <w:r w:rsidRPr="00C03C21">
        <w:rPr>
          <w:rFonts w:ascii="Arial" w:eastAsiaTheme="minorEastAsia" w:hAnsi="Arial" w:cs="Times New Roman"/>
          <w:szCs w:val="20"/>
          <w:lang w:val="en-GB"/>
        </w:rPr>
        <w:t xml:space="preserve">NCSR 9 further </w:t>
      </w:r>
      <w:r w:rsidR="006B4C0F">
        <w:rPr>
          <w:rFonts w:ascii="Arial" w:eastAsiaTheme="minorEastAsia" w:hAnsi="Arial" w:cs="Times New Roman"/>
          <w:szCs w:val="20"/>
          <w:lang w:val="en-GB"/>
        </w:rPr>
        <w:t xml:space="preserve">noted the view that </w:t>
      </w:r>
      <w:r w:rsidRPr="008603A2">
        <w:rPr>
          <w:rFonts w:ascii="Arial" w:eastAsiaTheme="minorEastAsia" w:hAnsi="Arial" w:cs="Times New Roman"/>
          <w:szCs w:val="20"/>
          <w:lang w:val="en-GB"/>
        </w:rPr>
        <w:t>it was important to have a reliable backup for satellite-based position, navigation and timing systems.</w:t>
      </w:r>
    </w:p>
    <w:p w:rsidR="003A5260" w:rsidRDefault="003A5260" w:rsidP="00C03C21">
      <w:pPr>
        <w:pStyle w:val="NurText"/>
        <w:rPr>
          <w:rFonts w:ascii="Arial" w:eastAsiaTheme="minorEastAsia" w:hAnsi="Arial" w:cs="Times New Roman"/>
          <w:szCs w:val="20"/>
          <w:lang w:val="en-GB"/>
        </w:rPr>
      </w:pPr>
    </w:p>
    <w:p w:rsidR="008603A2" w:rsidRDefault="003A5260" w:rsidP="00C03C21">
      <w:pPr>
        <w:pStyle w:val="NurText"/>
        <w:rPr>
          <w:rFonts w:ascii="Arial" w:eastAsiaTheme="minorEastAsia" w:hAnsi="Arial" w:cs="Times New Roman"/>
          <w:szCs w:val="20"/>
          <w:lang w:val="en-GB"/>
        </w:rPr>
      </w:pPr>
      <w:r>
        <w:rPr>
          <w:rFonts w:ascii="Arial" w:eastAsiaTheme="minorEastAsia" w:hAnsi="Arial" w:cs="Times New Roman"/>
          <w:szCs w:val="20"/>
          <w:lang w:val="en-GB"/>
        </w:rPr>
        <w:t>5</w:t>
      </w:r>
      <w:r w:rsidR="006B4C0F">
        <w:rPr>
          <w:rFonts w:ascii="Arial" w:eastAsiaTheme="minorEastAsia" w:hAnsi="Arial" w:cs="Times New Roman"/>
          <w:szCs w:val="20"/>
          <w:lang w:val="en-GB"/>
        </w:rPr>
        <w:tab/>
        <w:t xml:space="preserve">NCSR 9 </w:t>
      </w:r>
      <w:r w:rsidR="0003349A">
        <w:rPr>
          <w:rFonts w:ascii="Arial" w:eastAsiaTheme="minorEastAsia" w:hAnsi="Arial" w:cs="Times New Roman"/>
          <w:szCs w:val="20"/>
          <w:lang w:val="en-GB"/>
        </w:rPr>
        <w:t>instruct</w:t>
      </w:r>
      <w:r w:rsidR="006B4C0F">
        <w:rPr>
          <w:rFonts w:ascii="Arial" w:eastAsiaTheme="minorEastAsia" w:hAnsi="Arial" w:cs="Times New Roman"/>
          <w:szCs w:val="20"/>
          <w:lang w:val="en-GB"/>
        </w:rPr>
        <w:t xml:space="preserve">ed </w:t>
      </w:r>
      <w:bookmarkStart w:id="13" w:name="_GoBack"/>
      <w:bookmarkEnd w:id="13"/>
      <w:r w:rsidR="008603A2" w:rsidRPr="008603A2">
        <w:rPr>
          <w:rFonts w:ascii="Arial" w:eastAsiaTheme="minorEastAsia" w:hAnsi="Arial" w:cs="Times New Roman"/>
          <w:szCs w:val="20"/>
          <w:lang w:val="en-GB"/>
        </w:rPr>
        <w:t xml:space="preserve">EG 18 </w:t>
      </w:r>
      <w:r w:rsidR="0003349A">
        <w:rPr>
          <w:rFonts w:ascii="Arial" w:eastAsiaTheme="minorEastAsia" w:hAnsi="Arial" w:cs="Times New Roman"/>
          <w:szCs w:val="20"/>
          <w:lang w:val="en-GB"/>
        </w:rPr>
        <w:t>to</w:t>
      </w:r>
      <w:r w:rsidR="008603A2">
        <w:rPr>
          <w:rFonts w:ascii="Arial" w:eastAsiaTheme="minorEastAsia" w:hAnsi="Arial" w:cs="Times New Roman"/>
          <w:szCs w:val="20"/>
          <w:lang w:val="en-GB"/>
        </w:rPr>
        <w:t xml:space="preserve"> </w:t>
      </w:r>
      <w:r w:rsidR="008603A2" w:rsidRPr="008603A2">
        <w:rPr>
          <w:rFonts w:ascii="Arial" w:eastAsiaTheme="minorEastAsia" w:hAnsi="Arial" w:cs="Times New Roman"/>
          <w:szCs w:val="20"/>
          <w:lang w:val="en-GB"/>
        </w:rPr>
        <w:t>develop the draft IMO position on WRC-23 agenda item 10, taking into account comments and documents submitted at NCSR 9, and advise NCSR 10 as appropriate.</w:t>
      </w:r>
    </w:p>
    <w:p w:rsidR="00621BB1" w:rsidRDefault="00621BB1" w:rsidP="00621BB1">
      <w:pPr>
        <w:pStyle w:val="Listenabsatz"/>
        <w:ind w:left="880"/>
      </w:pPr>
    </w:p>
    <w:p w:rsidR="00621BB1" w:rsidRDefault="00EF75E7" w:rsidP="00621BB1">
      <w:pPr>
        <w:pStyle w:val="NurText"/>
        <w:rPr>
          <w:rFonts w:ascii="Arial" w:hAnsi="Arial" w:cs="Arial"/>
          <w:lang w:val="en-GB"/>
        </w:rPr>
      </w:pPr>
      <w:r>
        <w:rPr>
          <w:rFonts w:ascii="Arial" w:eastAsiaTheme="minorEastAsia" w:hAnsi="Arial" w:cs="Times New Roman"/>
          <w:szCs w:val="20"/>
          <w:lang w:val="en-GB"/>
        </w:rPr>
        <w:t>6</w:t>
      </w:r>
      <w:r w:rsidR="00621BB1">
        <w:rPr>
          <w:rFonts w:ascii="Arial" w:eastAsiaTheme="minorEastAsia" w:hAnsi="Arial" w:cs="Times New Roman"/>
          <w:szCs w:val="20"/>
          <w:lang w:val="en-GB"/>
        </w:rPr>
        <w:tab/>
      </w:r>
      <w:r w:rsidR="00372DAD">
        <w:rPr>
          <w:rFonts w:ascii="Arial" w:eastAsiaTheme="minorEastAsia" w:hAnsi="Arial" w:cs="Times New Roman"/>
          <w:szCs w:val="20"/>
          <w:lang w:val="en-GB"/>
        </w:rPr>
        <w:t>A</w:t>
      </w:r>
      <w:r w:rsidR="00372DAD" w:rsidRPr="00372DAD">
        <w:rPr>
          <w:rFonts w:ascii="Arial" w:eastAsiaTheme="minorEastAsia" w:hAnsi="Arial" w:cs="Times New Roman"/>
          <w:szCs w:val="20"/>
          <w:lang w:val="en-GB"/>
        </w:rPr>
        <w:t xml:space="preserve">n information </w:t>
      </w:r>
      <w:r w:rsidR="003A5260">
        <w:rPr>
          <w:rFonts w:ascii="Arial" w:eastAsiaTheme="minorEastAsia" w:hAnsi="Arial" w:cs="Times New Roman"/>
          <w:szCs w:val="20"/>
          <w:lang w:val="en-GB"/>
        </w:rPr>
        <w:t>document</w:t>
      </w:r>
      <w:r w:rsidR="003A5260" w:rsidRPr="00372DAD">
        <w:rPr>
          <w:rFonts w:ascii="Arial" w:eastAsiaTheme="minorEastAsia" w:hAnsi="Arial" w:cs="Times New Roman"/>
          <w:szCs w:val="20"/>
          <w:lang w:val="en-GB"/>
        </w:rPr>
        <w:t xml:space="preserve"> </w:t>
      </w:r>
      <w:r w:rsidR="00372DAD" w:rsidRPr="00372DAD">
        <w:rPr>
          <w:rFonts w:ascii="Arial" w:eastAsiaTheme="minorEastAsia" w:hAnsi="Arial" w:cs="Times New Roman"/>
          <w:szCs w:val="20"/>
          <w:lang w:val="en-GB"/>
        </w:rPr>
        <w:t xml:space="preserve">on R-Mode (Ranging-Mode), terrestrial positioning for resilient navigation </w:t>
      </w:r>
      <w:r w:rsidR="003A5260">
        <w:rPr>
          <w:rFonts w:ascii="Arial" w:eastAsiaTheme="minorEastAsia" w:hAnsi="Arial" w:cs="Times New Roman"/>
          <w:szCs w:val="20"/>
          <w:lang w:val="en-GB"/>
        </w:rPr>
        <w:t>has been</w:t>
      </w:r>
      <w:r w:rsidR="00372DAD" w:rsidRPr="00372DAD">
        <w:rPr>
          <w:rFonts w:ascii="Arial" w:eastAsiaTheme="minorEastAsia" w:hAnsi="Arial" w:cs="Times New Roman"/>
          <w:szCs w:val="20"/>
          <w:lang w:val="en-GB"/>
        </w:rPr>
        <w:t xml:space="preserve"> submitted </w:t>
      </w:r>
      <w:r w:rsidR="00372DAD">
        <w:rPr>
          <w:rFonts w:ascii="Arial" w:eastAsiaTheme="minorEastAsia" w:hAnsi="Arial" w:cs="Times New Roman"/>
          <w:szCs w:val="20"/>
          <w:lang w:val="en-GB"/>
        </w:rPr>
        <w:t xml:space="preserve">by Germany, Finland and Poland </w:t>
      </w:r>
      <w:r w:rsidR="00372DAD" w:rsidRPr="00372DAD">
        <w:rPr>
          <w:rFonts w:ascii="Arial" w:eastAsiaTheme="minorEastAsia" w:hAnsi="Arial" w:cs="Times New Roman"/>
          <w:szCs w:val="20"/>
          <w:lang w:val="en-GB"/>
        </w:rPr>
        <w:t>t</w:t>
      </w:r>
      <w:r w:rsidR="00621BB1" w:rsidRPr="00372DAD">
        <w:rPr>
          <w:rFonts w:ascii="Arial" w:eastAsiaTheme="minorEastAsia" w:hAnsi="Arial" w:cs="Times New Roman"/>
          <w:szCs w:val="20"/>
          <w:lang w:val="en-GB"/>
        </w:rPr>
        <w:t>o the 105th session of the IMO Maritime Safety Committee</w:t>
      </w:r>
      <w:r w:rsidR="00372DAD">
        <w:rPr>
          <w:rFonts w:ascii="Arial" w:eastAsiaTheme="minorEastAsia" w:hAnsi="Arial" w:cs="Times New Roman"/>
          <w:szCs w:val="20"/>
          <w:lang w:val="en-GB"/>
        </w:rPr>
        <w:t xml:space="preserve">. </w:t>
      </w:r>
      <w:r w:rsidR="003A5260">
        <w:rPr>
          <w:rFonts w:ascii="Arial" w:eastAsiaTheme="minorEastAsia" w:hAnsi="Arial" w:cs="Times New Roman"/>
          <w:szCs w:val="20"/>
          <w:lang w:val="en-GB"/>
        </w:rPr>
        <w:t xml:space="preserve">That </w:t>
      </w:r>
      <w:r w:rsidR="00621BB1" w:rsidRPr="00372DAD">
        <w:rPr>
          <w:rFonts w:ascii="Arial" w:eastAsiaTheme="minorEastAsia" w:hAnsi="Arial" w:cs="Times New Roman"/>
          <w:szCs w:val="20"/>
          <w:lang w:val="en-GB"/>
        </w:rPr>
        <w:t xml:space="preserve">paper </w:t>
      </w:r>
      <w:r w:rsidR="0003349A">
        <w:rPr>
          <w:rFonts w:ascii="Arial" w:eastAsiaTheme="minorEastAsia" w:hAnsi="Arial" w:cs="Times New Roman"/>
          <w:szCs w:val="20"/>
          <w:lang w:val="en-GB"/>
        </w:rPr>
        <w:t xml:space="preserve">provided </w:t>
      </w:r>
      <w:r w:rsidR="00621BB1" w:rsidRPr="00372DAD">
        <w:rPr>
          <w:rFonts w:ascii="Arial" w:eastAsiaTheme="minorEastAsia" w:hAnsi="Arial" w:cs="Times New Roman"/>
          <w:szCs w:val="20"/>
          <w:lang w:val="en-GB"/>
        </w:rPr>
        <w:t>inform</w:t>
      </w:r>
      <w:r w:rsidR="0003349A">
        <w:rPr>
          <w:rFonts w:ascii="Arial" w:eastAsiaTheme="minorEastAsia" w:hAnsi="Arial" w:cs="Times New Roman"/>
          <w:szCs w:val="20"/>
          <w:lang w:val="en-GB"/>
        </w:rPr>
        <w:t>ation</w:t>
      </w:r>
      <w:r w:rsidR="00621BB1" w:rsidRPr="00372DAD">
        <w:rPr>
          <w:rFonts w:ascii="Arial" w:eastAsiaTheme="minorEastAsia" w:hAnsi="Arial" w:cs="Times New Roman"/>
          <w:szCs w:val="20"/>
          <w:lang w:val="en-GB"/>
        </w:rPr>
        <w:t xml:space="preserve"> about the technical use of R-Mode and about re</w:t>
      </w:r>
      <w:r w:rsidR="00CC5CF4" w:rsidRPr="00372DAD">
        <w:rPr>
          <w:rFonts w:ascii="Arial" w:eastAsiaTheme="minorEastAsia" w:hAnsi="Arial" w:cs="Times New Roman"/>
          <w:szCs w:val="20"/>
          <w:lang w:val="en-GB"/>
        </w:rPr>
        <w:t xml:space="preserve">sults </w:t>
      </w:r>
      <w:r w:rsidR="00372DAD">
        <w:rPr>
          <w:rFonts w:ascii="Arial" w:eastAsiaTheme="minorEastAsia" w:hAnsi="Arial" w:cs="Times New Roman"/>
          <w:szCs w:val="20"/>
          <w:lang w:val="en-GB"/>
        </w:rPr>
        <w:t xml:space="preserve">gained </w:t>
      </w:r>
      <w:r w:rsidR="00CC5CF4" w:rsidRPr="00372DAD">
        <w:rPr>
          <w:rFonts w:ascii="Arial" w:eastAsiaTheme="minorEastAsia" w:hAnsi="Arial" w:cs="Times New Roman"/>
          <w:szCs w:val="20"/>
          <w:lang w:val="en-GB"/>
        </w:rPr>
        <w:t>in a large test bed in the Baltic Sea</w:t>
      </w:r>
      <w:r w:rsidR="00CC5CF4" w:rsidRPr="00CC5CF4">
        <w:rPr>
          <w:rFonts w:ascii="Arial" w:hAnsi="Arial" w:cs="Arial"/>
          <w:lang w:val="en-GB"/>
        </w:rPr>
        <w:t>.</w:t>
      </w:r>
    </w:p>
    <w:p w:rsidR="00372DAD" w:rsidRDefault="00372DAD" w:rsidP="00621BB1">
      <w:pPr>
        <w:pStyle w:val="NurText"/>
        <w:rPr>
          <w:rFonts w:ascii="Arial" w:hAnsi="Arial" w:cs="Arial"/>
          <w:lang w:val="en-GB"/>
        </w:rPr>
      </w:pPr>
    </w:p>
    <w:p w:rsidR="00667F87" w:rsidRDefault="00667F87" w:rsidP="00667F87">
      <w:pPr>
        <w:tabs>
          <w:tab w:val="clear" w:pos="851"/>
        </w:tabs>
        <w:rPr>
          <w:b/>
          <w:lang w:eastAsia="ja-JP"/>
        </w:rPr>
      </w:pPr>
      <w:r>
        <w:rPr>
          <w:b/>
          <w:lang w:eastAsia="ja-JP"/>
        </w:rPr>
        <w:t>Background</w:t>
      </w:r>
    </w:p>
    <w:p w:rsidR="00667F87" w:rsidRDefault="00667F87" w:rsidP="00621BB1">
      <w:pPr>
        <w:pStyle w:val="NurText"/>
        <w:rPr>
          <w:rFonts w:ascii="Arial" w:hAnsi="Arial" w:cs="Arial"/>
          <w:lang w:val="en-GB"/>
        </w:rPr>
      </w:pPr>
    </w:p>
    <w:p w:rsidR="00372DAD" w:rsidRDefault="00EF75E7" w:rsidP="00372DAD">
      <w:pPr>
        <w:pStyle w:val="Default"/>
        <w:jc w:val="both"/>
        <w:rPr>
          <w:sz w:val="22"/>
          <w:lang w:eastAsia="ja-JP"/>
        </w:rPr>
      </w:pPr>
      <w:r>
        <w:rPr>
          <w:sz w:val="22"/>
          <w:szCs w:val="22"/>
          <w:lang w:val="en-GB"/>
        </w:rPr>
        <w:t>7</w:t>
      </w:r>
      <w:r w:rsidR="00372DAD">
        <w:rPr>
          <w:lang w:val="en-GB"/>
        </w:rPr>
        <w:tab/>
      </w:r>
      <w:r w:rsidR="0003349A" w:rsidRPr="00C03C21">
        <w:rPr>
          <w:sz w:val="22"/>
          <w:lang w:eastAsia="ja-JP"/>
        </w:rPr>
        <w:t xml:space="preserve">Currently, </w:t>
      </w:r>
      <w:r w:rsidR="0003349A">
        <w:rPr>
          <w:sz w:val="22"/>
          <w:lang w:eastAsia="ja-JP"/>
        </w:rPr>
        <w:t>a</w:t>
      </w:r>
      <w:r w:rsidR="00372DAD" w:rsidRPr="00C03C21">
        <w:rPr>
          <w:sz w:val="22"/>
          <w:lang w:eastAsia="ja-JP"/>
        </w:rPr>
        <w:t xml:space="preserve"> number of additional </w:t>
      </w:r>
      <w:r w:rsidR="00372DAD">
        <w:rPr>
          <w:rFonts w:hint="eastAsia"/>
          <w:sz w:val="22"/>
          <w:lang w:eastAsia="ja-JP"/>
        </w:rPr>
        <w:t>projects</w:t>
      </w:r>
      <w:r w:rsidR="00372DAD">
        <w:rPr>
          <w:sz w:val="22"/>
          <w:lang w:eastAsia="ja-JP"/>
        </w:rPr>
        <w:t xml:space="preserve"> dealing with R-Mode using MF radio beacons and/or VDES R-Mode</w:t>
      </w:r>
      <w:r w:rsidR="00372DAD">
        <w:rPr>
          <w:rFonts w:hint="eastAsia"/>
          <w:sz w:val="22"/>
          <w:lang w:eastAsia="ja-JP"/>
        </w:rPr>
        <w:t xml:space="preserve"> </w:t>
      </w:r>
      <w:r w:rsidR="00372DAD">
        <w:rPr>
          <w:sz w:val="22"/>
          <w:lang w:eastAsia="ja-JP"/>
        </w:rPr>
        <w:t>are implemented in Europe, Asia and North America</w:t>
      </w:r>
      <w:r w:rsidR="00372DAD">
        <w:rPr>
          <w:rFonts w:hint="eastAsia"/>
          <w:sz w:val="22"/>
          <w:lang w:eastAsia="ja-JP"/>
        </w:rPr>
        <w:t xml:space="preserve">. </w:t>
      </w:r>
      <w:r w:rsidR="0003349A">
        <w:rPr>
          <w:sz w:val="22"/>
          <w:lang w:eastAsia="ja-JP"/>
        </w:rPr>
        <w:t xml:space="preserve">The finalization of these projects can be expected </w:t>
      </w:r>
      <w:r w:rsidR="0003349A" w:rsidRPr="006350E9">
        <w:rPr>
          <w:sz w:val="22"/>
          <w:lang w:eastAsia="ja-JP"/>
        </w:rPr>
        <w:t>in due course</w:t>
      </w:r>
      <w:r w:rsidR="0003349A">
        <w:rPr>
          <w:sz w:val="22"/>
          <w:lang w:eastAsia="ja-JP"/>
        </w:rPr>
        <w:t>. These results will provide further information to finalize the standardization of R-</w:t>
      </w:r>
      <w:r w:rsidR="00AF3742">
        <w:rPr>
          <w:sz w:val="22"/>
          <w:lang w:eastAsia="ja-JP"/>
        </w:rPr>
        <w:t>M</w:t>
      </w:r>
      <w:r w:rsidR="0003349A">
        <w:rPr>
          <w:sz w:val="22"/>
          <w:lang w:eastAsia="ja-JP"/>
        </w:rPr>
        <w:t>ode</w:t>
      </w:r>
      <w:r w:rsidR="0003349A">
        <w:rPr>
          <w:rFonts w:hint="eastAsia"/>
          <w:sz w:val="22"/>
          <w:lang w:eastAsia="ja-JP"/>
        </w:rPr>
        <w:t>.</w:t>
      </w:r>
    </w:p>
    <w:p w:rsidR="00372DAD" w:rsidRDefault="00372DAD" w:rsidP="00372DAD">
      <w:pPr>
        <w:pStyle w:val="Default"/>
        <w:jc w:val="both"/>
        <w:rPr>
          <w:sz w:val="22"/>
          <w:lang w:eastAsia="ja-JP"/>
        </w:rPr>
      </w:pPr>
    </w:p>
    <w:p w:rsidR="00EF75E7" w:rsidRDefault="00EF75E7" w:rsidP="00372DAD">
      <w:pPr>
        <w:pStyle w:val="Default"/>
        <w:jc w:val="both"/>
        <w:rPr>
          <w:sz w:val="22"/>
          <w:lang w:eastAsia="ja-JP"/>
        </w:rPr>
      </w:pPr>
      <w:r>
        <w:rPr>
          <w:sz w:val="22"/>
          <w:lang w:eastAsia="ja-JP"/>
        </w:rPr>
        <w:t>8</w:t>
      </w:r>
      <w:r>
        <w:rPr>
          <w:sz w:val="22"/>
          <w:lang w:eastAsia="ja-JP"/>
        </w:rPr>
        <w:tab/>
      </w:r>
      <w:r w:rsidRPr="00C03C21">
        <w:rPr>
          <w:sz w:val="22"/>
          <w:lang w:eastAsia="ja-JP"/>
        </w:rPr>
        <w:t>Further studies are in preparation to support VDES R-Mode and to confirm that VDES R-Mode will not cause interference to other systems, and that the VDES data transfer capacity is as efficient as possible, without limiting other services planned on VDES.</w:t>
      </w:r>
    </w:p>
    <w:p w:rsidR="00EF75E7" w:rsidRDefault="00EF75E7" w:rsidP="00372DAD">
      <w:pPr>
        <w:pStyle w:val="Default"/>
        <w:jc w:val="both"/>
        <w:rPr>
          <w:sz w:val="22"/>
          <w:lang w:eastAsia="ja-JP"/>
        </w:rPr>
      </w:pPr>
    </w:p>
    <w:p w:rsidR="00372DAD" w:rsidRPr="00372DAD" w:rsidRDefault="00EF75E7" w:rsidP="00372DAD">
      <w:pPr>
        <w:pStyle w:val="Default"/>
        <w:jc w:val="both"/>
        <w:rPr>
          <w:rFonts w:cs="Times New Roman"/>
          <w:color w:val="auto"/>
          <w:sz w:val="22"/>
          <w:szCs w:val="20"/>
          <w:lang w:val="en-GB" w:eastAsia="en-US"/>
        </w:rPr>
      </w:pPr>
      <w:r>
        <w:rPr>
          <w:sz w:val="22"/>
          <w:lang w:eastAsia="ja-JP"/>
        </w:rPr>
        <w:t>9</w:t>
      </w:r>
      <w:r w:rsidR="00372DAD">
        <w:rPr>
          <w:sz w:val="22"/>
          <w:lang w:eastAsia="ja-JP"/>
        </w:rPr>
        <w:t xml:space="preserve"> </w:t>
      </w:r>
      <w:r w:rsidR="00372DAD">
        <w:rPr>
          <w:sz w:val="22"/>
          <w:lang w:eastAsia="ja-JP"/>
        </w:rPr>
        <w:tab/>
      </w:r>
      <w:r w:rsidR="00372DAD" w:rsidRPr="00372DAD">
        <w:rPr>
          <w:rFonts w:cs="Times New Roman"/>
          <w:color w:val="auto"/>
          <w:sz w:val="22"/>
          <w:szCs w:val="20"/>
          <w:lang w:val="en-GB" w:eastAsia="en-US"/>
        </w:rPr>
        <w:t>ITU-R Recommendation ITU-R M.2092-1</w:t>
      </w:r>
      <w:r w:rsidR="003A5260">
        <w:rPr>
          <w:rFonts w:cs="Times New Roman"/>
          <w:color w:val="auto"/>
          <w:sz w:val="22"/>
          <w:szCs w:val="20"/>
          <w:lang w:val="en-GB" w:eastAsia="en-US"/>
        </w:rPr>
        <w:t xml:space="preserve"> has reserved a ranging channel for future </w:t>
      </w:r>
      <w:proofErr w:type="spellStart"/>
      <w:r w:rsidR="003A5260">
        <w:rPr>
          <w:rFonts w:cs="Times New Roman"/>
          <w:color w:val="auto"/>
          <w:sz w:val="22"/>
          <w:szCs w:val="20"/>
          <w:lang w:val="en-GB" w:eastAsia="en-US"/>
        </w:rPr>
        <w:t>radionavigation</w:t>
      </w:r>
      <w:proofErr w:type="spellEnd"/>
      <w:r w:rsidR="003A5260">
        <w:rPr>
          <w:rFonts w:cs="Times New Roman"/>
          <w:color w:val="auto"/>
          <w:sz w:val="22"/>
          <w:szCs w:val="20"/>
          <w:lang w:val="en-GB" w:eastAsia="en-US"/>
        </w:rPr>
        <w:t xml:space="preserve"> applications.</w:t>
      </w:r>
      <w:r w:rsidR="00372DAD" w:rsidRPr="00372DAD">
        <w:rPr>
          <w:rFonts w:cs="Times New Roman"/>
          <w:color w:val="auto"/>
          <w:sz w:val="22"/>
          <w:szCs w:val="20"/>
          <w:lang w:val="en-GB" w:eastAsia="en-US"/>
        </w:rPr>
        <w:t xml:space="preserve"> IALA Guideline 1158 </w:t>
      </w:r>
      <w:r w:rsidR="003A5260" w:rsidRPr="003A5260">
        <w:rPr>
          <w:rFonts w:cs="Times New Roman"/>
          <w:color w:val="auto"/>
          <w:sz w:val="22"/>
          <w:szCs w:val="20"/>
          <w:lang w:val="en-GB" w:eastAsia="en-US"/>
        </w:rPr>
        <w:t>describes the system requirements and goals for a VDES R-Mode System</w:t>
      </w:r>
      <w:r w:rsidR="003A5260">
        <w:rPr>
          <w:rFonts w:cs="Times New Roman"/>
          <w:color w:val="auto"/>
          <w:sz w:val="22"/>
          <w:szCs w:val="20"/>
          <w:lang w:val="en-GB" w:eastAsia="en-US"/>
        </w:rPr>
        <w:t>.</w:t>
      </w:r>
      <w:r w:rsidR="00372DAD" w:rsidRPr="00372DAD">
        <w:rPr>
          <w:rFonts w:cs="Times New Roman"/>
          <w:color w:val="auto"/>
          <w:sz w:val="22"/>
          <w:szCs w:val="20"/>
          <w:lang w:val="en-GB" w:eastAsia="en-US"/>
        </w:rPr>
        <w:t xml:space="preserve"> Further work is being conducted at IALA regarding a </w:t>
      </w:r>
      <w:r w:rsidR="00372DAD" w:rsidRPr="00372DAD">
        <w:rPr>
          <w:rFonts w:cs="Times New Roman"/>
          <w:color w:val="auto"/>
          <w:sz w:val="22"/>
          <w:szCs w:val="20"/>
          <w:lang w:val="en-GB" w:eastAsia="en-US"/>
        </w:rPr>
        <w:lastRenderedPageBreak/>
        <w:t xml:space="preserve">guideline for the implementation of R-Mode using transmissions in the MF and VHF frequency bands. </w:t>
      </w:r>
    </w:p>
    <w:p w:rsidR="00372DAD" w:rsidRPr="00372DAD" w:rsidRDefault="00372DAD" w:rsidP="00372DAD">
      <w:pPr>
        <w:pStyle w:val="Default"/>
        <w:jc w:val="both"/>
        <w:rPr>
          <w:rFonts w:cs="Times New Roman"/>
          <w:color w:val="auto"/>
          <w:sz w:val="22"/>
          <w:szCs w:val="20"/>
          <w:lang w:val="en-GB" w:eastAsia="en-US"/>
        </w:rPr>
      </w:pPr>
    </w:p>
    <w:p w:rsidR="008603A2" w:rsidRDefault="00EF75E7" w:rsidP="008603A2">
      <w:r>
        <w:rPr>
          <w:lang w:eastAsia="ja-JP"/>
        </w:rPr>
        <w:t>10</w:t>
      </w:r>
      <w:r w:rsidR="005729BE">
        <w:rPr>
          <w:rFonts w:hint="eastAsia"/>
          <w:lang w:eastAsia="ja-JP"/>
        </w:rPr>
        <w:tab/>
      </w:r>
      <w:r w:rsidR="008603A2" w:rsidRPr="00261EAB">
        <w:t xml:space="preserve">GNSS (e.g. GPS, Galileo, GLONASS, </w:t>
      </w:r>
      <w:proofErr w:type="spellStart"/>
      <w:r w:rsidR="008603A2" w:rsidRPr="00261EAB">
        <w:t>BeiDou</w:t>
      </w:r>
      <w:proofErr w:type="spellEnd"/>
      <w:r w:rsidR="008603A2" w:rsidRPr="00261EAB">
        <w:t xml:space="preserve">) have become the primary source for maritime </w:t>
      </w:r>
      <w:r w:rsidR="003A5260">
        <w:t>Positioning, Navigation and Timing (</w:t>
      </w:r>
      <w:r w:rsidR="008603A2" w:rsidRPr="00261EAB">
        <w:t>PNT</w:t>
      </w:r>
      <w:r w:rsidR="003A5260">
        <w:t>)</w:t>
      </w:r>
      <w:r w:rsidR="008603A2" w:rsidRPr="00261EAB">
        <w:t xml:space="preserve"> data provision. </w:t>
      </w:r>
      <w:r w:rsidR="00C1303D">
        <w:t>Such</w:t>
      </w:r>
      <w:r w:rsidR="00C1303D" w:rsidRPr="00261EAB">
        <w:t xml:space="preserve"> </w:t>
      </w:r>
      <w:r w:rsidR="008603A2" w:rsidRPr="00261EAB">
        <w:t xml:space="preserve">PNT data is used by many applications on vessels, like AIS (Automatic Identification System), ECDIS (Electronic Chart Display and Information System), for communication systems and GMDSS (Global Maritime Distress and Safety System) to obtain </w:t>
      </w:r>
      <w:r w:rsidR="004A0BE2">
        <w:t xml:space="preserve">the </w:t>
      </w:r>
      <w:r w:rsidR="008603A2" w:rsidRPr="00261EAB">
        <w:t xml:space="preserve">accurate position in </w:t>
      </w:r>
      <w:r w:rsidR="004A0BE2">
        <w:t xml:space="preserve">a </w:t>
      </w:r>
      <w:r w:rsidR="008603A2" w:rsidRPr="00261EAB">
        <w:t>case of emergency. Safe navigation, the protection of the marine environment and the efficiency of access to ports are today highly dependent on the availability, continuity, accuracy and integrity of GNSS based positioning and timing.</w:t>
      </w:r>
    </w:p>
    <w:p w:rsidR="008603A2" w:rsidRPr="00261EAB" w:rsidRDefault="008603A2" w:rsidP="008603A2"/>
    <w:p w:rsidR="008603A2" w:rsidRDefault="00EF75E7" w:rsidP="008603A2">
      <w:r>
        <w:t>11</w:t>
      </w:r>
      <w:r w:rsidR="008603A2" w:rsidRPr="00261EAB">
        <w:tab/>
        <w:t xml:space="preserve">However, it is well known that the </w:t>
      </w:r>
      <w:proofErr w:type="spellStart"/>
      <w:r w:rsidR="008603A2" w:rsidRPr="00261EAB">
        <w:t>radionavigation</w:t>
      </w:r>
      <w:proofErr w:type="spellEnd"/>
      <w:r w:rsidR="008603A2" w:rsidRPr="00261EAB">
        <w:t xml:space="preserve"> signals from GNSS are provided at very low power levels. Thus, the signal </w:t>
      </w:r>
      <w:r w:rsidR="004E07BC">
        <w:t>reception</w:t>
      </w:r>
      <w:r w:rsidR="004E07BC" w:rsidRPr="00261EAB">
        <w:t xml:space="preserve"> </w:t>
      </w:r>
      <w:r w:rsidR="008603A2" w:rsidRPr="00261EAB">
        <w:t xml:space="preserve">is vulnerable to jamming and natural interference. As a </w:t>
      </w:r>
      <w:r w:rsidR="000933AE" w:rsidRPr="00261EAB">
        <w:t>result,</w:t>
      </w:r>
      <w:r w:rsidR="008603A2" w:rsidRPr="00261EAB">
        <w:t xml:space="preserve"> the provision of PNT data as needed may be corrupted or interrupted. Unavailable PNT data, even for short periods, limits the situation assessment and results in numerous alerts raised by multiple systems on the bridge. </w:t>
      </w:r>
      <w:r w:rsidR="004E07BC">
        <w:t xml:space="preserve">The signal reception </w:t>
      </w:r>
      <w:r w:rsidR="00531C8A">
        <w:t xml:space="preserve">of GNSS </w:t>
      </w:r>
      <w:r w:rsidR="004E07BC">
        <w:t xml:space="preserve">is also vulnerable to spoofed signals which is </w:t>
      </w:r>
      <w:r w:rsidR="008603A2" w:rsidRPr="00261EAB">
        <w:t xml:space="preserve">critical </w:t>
      </w:r>
      <w:r w:rsidR="004E07BC">
        <w:t xml:space="preserve">as </w:t>
      </w:r>
      <w:r w:rsidR="008603A2" w:rsidRPr="00261EAB">
        <w:t xml:space="preserve">hazardously misleading information as </w:t>
      </w:r>
      <w:r w:rsidR="004E07BC">
        <w:t xml:space="preserve">a </w:t>
      </w:r>
      <w:r w:rsidR="008603A2" w:rsidRPr="00261EAB">
        <w:t>result of position errors that are large enough to have a severe impact on navigation safety but sm</w:t>
      </w:r>
      <w:r w:rsidR="008603A2">
        <w:t>all enough to remain undetected</w:t>
      </w:r>
      <w:r w:rsidR="008603A2" w:rsidRPr="00261EAB">
        <w:t>.</w:t>
      </w:r>
    </w:p>
    <w:p w:rsidR="008603A2" w:rsidRPr="00261EAB" w:rsidRDefault="008603A2" w:rsidP="008603A2"/>
    <w:p w:rsidR="008603A2" w:rsidRPr="00261EAB" w:rsidRDefault="00EF75E7" w:rsidP="008603A2">
      <w:r>
        <w:t>12</w:t>
      </w:r>
      <w:r w:rsidR="008603A2" w:rsidRPr="00261EAB">
        <w:tab/>
        <w:t>Within the Strategic Implementation Plan of e-Navigation</w:t>
      </w:r>
      <w:r w:rsidR="000933AE">
        <w:t>,</w:t>
      </w:r>
      <w:r w:rsidR="008603A2" w:rsidRPr="00261EAB">
        <w:t xml:space="preserve"> IMO has identified the user need </w:t>
      </w:r>
      <w:r w:rsidR="00C1303D">
        <w:t>for</w:t>
      </w:r>
      <w:r w:rsidR="00C1303D" w:rsidRPr="00261EAB">
        <w:t xml:space="preserve"> </w:t>
      </w:r>
      <w:r w:rsidR="008603A2" w:rsidRPr="00261EAB">
        <w:t>improved reliability, resilience and integrity of bridge equipment and navigation information as one of the five prioritised e-Navigation solutions.</w:t>
      </w:r>
    </w:p>
    <w:p w:rsidR="008603A2" w:rsidRDefault="008603A2" w:rsidP="008603A2"/>
    <w:p w:rsidR="00C1303D" w:rsidRDefault="00EF75E7" w:rsidP="008603A2">
      <w:r>
        <w:t>13</w:t>
      </w:r>
      <w:r w:rsidR="00C1303D">
        <w:tab/>
        <w:t xml:space="preserve">R-Mode provides the potential of a reliable backup solution </w:t>
      </w:r>
      <w:r w:rsidR="00C1303D" w:rsidRPr="008603A2">
        <w:t>for satellite-based position, navigation and timing systems</w:t>
      </w:r>
      <w:r w:rsidR="00C1303D">
        <w:t>, as described in paragraph 4 above.</w:t>
      </w:r>
    </w:p>
    <w:p w:rsidR="00C1303D" w:rsidRDefault="00C1303D" w:rsidP="008603A2"/>
    <w:p w:rsidR="008603A2" w:rsidRDefault="00EF75E7" w:rsidP="008603A2">
      <w:pPr>
        <w:autoSpaceDE w:val="0"/>
        <w:autoSpaceDN w:val="0"/>
        <w:adjustRightInd w:val="0"/>
        <w:rPr>
          <w:rFonts w:cs="Arial"/>
          <w:color w:val="000000"/>
        </w:rPr>
      </w:pPr>
      <w:r>
        <w:rPr>
          <w:rFonts w:cs="Arial"/>
          <w:color w:val="000000"/>
        </w:rPr>
        <w:t>14</w:t>
      </w:r>
      <w:r w:rsidR="008603A2" w:rsidRPr="00F15E7C">
        <w:rPr>
          <w:rFonts w:cs="Arial"/>
          <w:color w:val="000000"/>
        </w:rPr>
        <w:tab/>
        <w:t xml:space="preserve">The IMO </w:t>
      </w:r>
      <w:r w:rsidR="00C1303D">
        <w:rPr>
          <w:rFonts w:cs="Arial"/>
          <w:color w:val="000000"/>
        </w:rPr>
        <w:t xml:space="preserve">is providing with </w:t>
      </w:r>
      <w:r w:rsidR="008603A2" w:rsidRPr="00F15E7C">
        <w:rPr>
          <w:rFonts w:cs="Arial"/>
          <w:color w:val="000000"/>
        </w:rPr>
        <w:t xml:space="preserve">the </w:t>
      </w:r>
      <w:r w:rsidR="008603A2">
        <w:rPr>
          <w:rFonts w:cs="Arial"/>
          <w:color w:val="000000"/>
        </w:rPr>
        <w:t>Performance Standards f</w:t>
      </w:r>
      <w:r w:rsidR="008603A2" w:rsidRPr="00160BDB">
        <w:rPr>
          <w:rFonts w:cs="Arial"/>
          <w:color w:val="000000"/>
        </w:rPr>
        <w:t xml:space="preserve">or Multi-System Shipborne </w:t>
      </w:r>
      <w:proofErr w:type="spellStart"/>
      <w:r w:rsidR="008603A2" w:rsidRPr="00160BDB">
        <w:rPr>
          <w:rFonts w:cs="Arial"/>
          <w:color w:val="000000"/>
        </w:rPr>
        <w:t>Radionavigation</w:t>
      </w:r>
      <w:proofErr w:type="spellEnd"/>
      <w:r w:rsidR="008603A2" w:rsidRPr="00160BDB">
        <w:rPr>
          <w:rFonts w:cs="Arial"/>
          <w:color w:val="000000"/>
        </w:rPr>
        <w:t xml:space="preserve"> Receivers</w:t>
      </w:r>
      <w:r w:rsidR="008603A2" w:rsidRPr="00F15E7C">
        <w:rPr>
          <w:rFonts w:cs="Arial"/>
          <w:color w:val="000000"/>
        </w:rPr>
        <w:t xml:space="preserve"> (MSC.401(95) and the associated GUIDELINES FOR SHIPBORNE POSITION, NAVIGATION AND TIMING (PNT) DATA PROCESSING (MSC.1/circ.1575) </w:t>
      </w:r>
      <w:r w:rsidR="000663CD">
        <w:rPr>
          <w:rFonts w:cs="Arial"/>
          <w:color w:val="000000"/>
        </w:rPr>
        <w:t>the regulatory means to</w:t>
      </w:r>
      <w:r w:rsidR="008603A2" w:rsidRPr="00F15E7C">
        <w:rPr>
          <w:rFonts w:cs="Arial"/>
          <w:color w:val="000000"/>
        </w:rPr>
        <w:t xml:space="preserve"> </w:t>
      </w:r>
      <w:r w:rsidR="000663CD">
        <w:rPr>
          <w:rFonts w:cs="Arial"/>
          <w:color w:val="000000"/>
        </w:rPr>
        <w:t>combine</w:t>
      </w:r>
      <w:r w:rsidR="008603A2" w:rsidRPr="00F15E7C">
        <w:rPr>
          <w:rFonts w:cs="Arial"/>
          <w:color w:val="000000"/>
        </w:rPr>
        <w:t xml:space="preserve"> any recognised IMO World-Wide </w:t>
      </w:r>
      <w:proofErr w:type="spellStart"/>
      <w:r w:rsidR="008603A2" w:rsidRPr="00F15E7C">
        <w:rPr>
          <w:rFonts w:cs="Arial"/>
          <w:color w:val="000000"/>
        </w:rPr>
        <w:t>Radionavigation</w:t>
      </w:r>
      <w:proofErr w:type="spellEnd"/>
      <w:r w:rsidR="008603A2" w:rsidRPr="00F15E7C">
        <w:rPr>
          <w:rFonts w:cs="Arial"/>
          <w:color w:val="000000"/>
        </w:rPr>
        <w:t xml:space="preserve"> System (WWRNS) with terrestrial position fixing systems as well as wide area augmentation systems. The rising number of available ranging signals from any source </w:t>
      </w:r>
      <w:r w:rsidR="008603A2">
        <w:rPr>
          <w:rFonts w:cs="Arial"/>
          <w:color w:val="000000"/>
        </w:rPr>
        <w:t>support</w:t>
      </w:r>
      <w:r w:rsidR="000663CD">
        <w:rPr>
          <w:rFonts w:cs="Arial"/>
          <w:color w:val="000000"/>
        </w:rPr>
        <w:t>s</w:t>
      </w:r>
      <w:r w:rsidR="008603A2" w:rsidRPr="00F15E7C">
        <w:rPr>
          <w:rFonts w:cs="Arial"/>
          <w:color w:val="000000"/>
        </w:rPr>
        <w:t xml:space="preserve"> the determination of position accuracy and associated integrity.</w:t>
      </w:r>
    </w:p>
    <w:p w:rsidR="005729BE" w:rsidRDefault="005729BE" w:rsidP="005561B2">
      <w:pPr>
        <w:tabs>
          <w:tab w:val="clear" w:pos="851"/>
        </w:tabs>
        <w:rPr>
          <w:lang w:eastAsia="ja-JP"/>
        </w:rPr>
      </w:pPr>
    </w:p>
    <w:p w:rsidR="00B4661E" w:rsidRDefault="00465F37" w:rsidP="005561B2">
      <w:pPr>
        <w:tabs>
          <w:tab w:val="clear" w:pos="851"/>
        </w:tabs>
        <w:rPr>
          <w:b/>
          <w:lang w:eastAsia="ja-JP"/>
        </w:rPr>
      </w:pPr>
      <w:r w:rsidRPr="00095391">
        <w:rPr>
          <w:rFonts w:hint="eastAsia"/>
          <w:b/>
          <w:lang w:eastAsia="ja-JP"/>
        </w:rPr>
        <w:t>Conclusion</w:t>
      </w:r>
    </w:p>
    <w:p w:rsidR="00EF75E7" w:rsidRDefault="00EF75E7" w:rsidP="005561B2">
      <w:pPr>
        <w:tabs>
          <w:tab w:val="clear" w:pos="851"/>
        </w:tabs>
        <w:rPr>
          <w:lang w:eastAsia="ja-JP"/>
        </w:rPr>
      </w:pPr>
    </w:p>
    <w:p w:rsidR="00B141E8" w:rsidRDefault="00EF75E7" w:rsidP="005561B2">
      <w:pPr>
        <w:tabs>
          <w:tab w:val="clear" w:pos="851"/>
        </w:tabs>
        <w:rPr>
          <w:lang w:eastAsia="ja-JP"/>
        </w:rPr>
      </w:pPr>
      <w:r>
        <w:rPr>
          <w:lang w:eastAsia="ja-JP"/>
        </w:rPr>
        <w:t>15</w:t>
      </w:r>
      <w:r w:rsidR="00B60AEA">
        <w:rPr>
          <w:rFonts w:hint="eastAsia"/>
          <w:lang w:eastAsia="ja-JP"/>
        </w:rPr>
        <w:tab/>
      </w:r>
      <w:r w:rsidR="00B141E8">
        <w:rPr>
          <w:lang w:eastAsia="ja-JP"/>
        </w:rPr>
        <w:t>T</w:t>
      </w:r>
      <w:r w:rsidR="00B141E8" w:rsidRPr="00C23D42">
        <w:rPr>
          <w:rFonts w:cs="Arial"/>
          <w:szCs w:val="22"/>
          <w:lang w:val="en-US" w:eastAsia="zh-CN"/>
        </w:rPr>
        <w:t>he VHF frequencies under discussion are already allocated</w:t>
      </w:r>
      <w:r w:rsidR="00B141E8">
        <w:rPr>
          <w:rFonts w:cs="Arial"/>
          <w:szCs w:val="22"/>
          <w:lang w:val="en-US" w:eastAsia="zh-CN"/>
        </w:rPr>
        <w:t xml:space="preserve"> to </w:t>
      </w:r>
      <w:r w:rsidR="000663CD">
        <w:rPr>
          <w:rFonts w:cs="Arial"/>
          <w:szCs w:val="22"/>
          <w:lang w:val="en-US" w:eastAsia="zh-CN"/>
        </w:rPr>
        <w:t xml:space="preserve">maritime </w:t>
      </w:r>
      <w:r w:rsidR="00B141E8">
        <w:rPr>
          <w:rFonts w:cs="Arial"/>
          <w:szCs w:val="22"/>
          <w:lang w:val="en-US" w:eastAsia="zh-CN"/>
        </w:rPr>
        <w:t xml:space="preserve">radiocommunication services. Thus, </w:t>
      </w:r>
      <w:r w:rsidR="00B141E8" w:rsidRPr="00C23D42">
        <w:rPr>
          <w:rFonts w:cs="Arial"/>
          <w:szCs w:val="22"/>
          <w:lang w:val="en-US" w:eastAsia="zh-CN"/>
        </w:rPr>
        <w:t>the required regulatory action by WRC-27 would include development of a</w:t>
      </w:r>
      <w:r w:rsidR="000663CD">
        <w:rPr>
          <w:rFonts w:cs="Arial"/>
          <w:szCs w:val="22"/>
          <w:lang w:val="en-US" w:eastAsia="zh-CN"/>
        </w:rPr>
        <w:t>n additional</w:t>
      </w:r>
      <w:r w:rsidR="00B141E8" w:rsidRPr="00C23D42">
        <w:rPr>
          <w:rFonts w:cs="Arial"/>
          <w:szCs w:val="22"/>
          <w:lang w:val="en-US" w:eastAsia="zh-CN"/>
        </w:rPr>
        <w:t xml:space="preserve"> allocation to </w:t>
      </w:r>
      <w:r w:rsidR="000663CD">
        <w:rPr>
          <w:rFonts w:cs="Arial"/>
          <w:szCs w:val="22"/>
          <w:lang w:val="en-US" w:eastAsia="zh-CN"/>
        </w:rPr>
        <w:t xml:space="preserve">the </w:t>
      </w:r>
      <w:proofErr w:type="spellStart"/>
      <w:r w:rsidR="00B141E8" w:rsidRPr="00C23D42">
        <w:rPr>
          <w:rFonts w:cs="Arial"/>
          <w:szCs w:val="22"/>
          <w:lang w:val="en-US" w:eastAsia="zh-CN"/>
        </w:rPr>
        <w:t>radionavigation</w:t>
      </w:r>
      <w:proofErr w:type="spellEnd"/>
      <w:r w:rsidR="000663CD">
        <w:rPr>
          <w:rFonts w:cs="Arial"/>
          <w:szCs w:val="22"/>
          <w:lang w:val="en-US" w:eastAsia="zh-CN"/>
        </w:rPr>
        <w:t xml:space="preserve"> service by modification</w:t>
      </w:r>
      <w:r w:rsidR="00B141E8" w:rsidRPr="00C23D42">
        <w:rPr>
          <w:rFonts w:cs="Arial"/>
          <w:szCs w:val="22"/>
          <w:lang w:val="en-US" w:eastAsia="zh-CN"/>
        </w:rPr>
        <w:t xml:space="preserve"> of Article 5 and Appendix 18 of the Radio Regulations</w:t>
      </w:r>
      <w:r w:rsidR="00B141E8">
        <w:rPr>
          <w:rFonts w:cs="Arial"/>
          <w:szCs w:val="22"/>
          <w:lang w:val="en-US" w:eastAsia="zh-CN"/>
        </w:rPr>
        <w:t>.</w:t>
      </w:r>
    </w:p>
    <w:p w:rsidR="00B141E8" w:rsidRDefault="00B141E8" w:rsidP="005561B2">
      <w:pPr>
        <w:tabs>
          <w:tab w:val="clear" w:pos="851"/>
        </w:tabs>
        <w:rPr>
          <w:lang w:eastAsia="ja-JP"/>
        </w:rPr>
      </w:pPr>
    </w:p>
    <w:p w:rsidR="00B4661E" w:rsidRDefault="00EF75E7" w:rsidP="005561B2">
      <w:pPr>
        <w:tabs>
          <w:tab w:val="clear" w:pos="851"/>
        </w:tabs>
        <w:rPr>
          <w:lang w:eastAsia="ja-JP"/>
        </w:rPr>
      </w:pPr>
      <w:r>
        <w:rPr>
          <w:lang w:eastAsia="ja-JP"/>
        </w:rPr>
        <w:t>16</w:t>
      </w:r>
      <w:r w:rsidR="00B141E8">
        <w:rPr>
          <w:lang w:eastAsia="ja-JP"/>
        </w:rPr>
        <w:tab/>
      </w:r>
      <w:r w:rsidR="00465F37">
        <w:rPr>
          <w:rFonts w:hint="eastAsia"/>
          <w:lang w:eastAsia="ja-JP"/>
        </w:rPr>
        <w:t xml:space="preserve">IALA considers that </w:t>
      </w:r>
      <w:r w:rsidR="00372DAD">
        <w:rPr>
          <w:lang w:eastAsia="ja-JP"/>
        </w:rPr>
        <w:t xml:space="preserve">the VDES R-Mode has become </w:t>
      </w:r>
      <w:r w:rsidR="00465F37">
        <w:rPr>
          <w:rFonts w:hint="eastAsia"/>
          <w:lang w:eastAsia="ja-JP"/>
        </w:rPr>
        <w:t xml:space="preserve">sufficiently mature </w:t>
      </w:r>
      <w:r w:rsidR="00DC1A91">
        <w:rPr>
          <w:rFonts w:hint="eastAsia"/>
          <w:lang w:eastAsia="ja-JP"/>
        </w:rPr>
        <w:t>for</w:t>
      </w:r>
      <w:r w:rsidR="000663CD">
        <w:rPr>
          <w:lang w:eastAsia="ja-JP"/>
        </w:rPr>
        <w:t xml:space="preserve"> an</w:t>
      </w:r>
      <w:r w:rsidR="00DC1A91">
        <w:rPr>
          <w:rFonts w:hint="eastAsia"/>
          <w:lang w:eastAsia="ja-JP"/>
        </w:rPr>
        <w:t xml:space="preserve"> inclusion </w:t>
      </w:r>
      <w:r w:rsidR="008466DA">
        <w:rPr>
          <w:lang w:eastAsia="ja-JP"/>
        </w:rPr>
        <w:t>under</w:t>
      </w:r>
      <w:r w:rsidR="005C743F">
        <w:rPr>
          <w:rFonts w:hint="eastAsia"/>
          <w:lang w:eastAsia="ja-JP"/>
        </w:rPr>
        <w:t xml:space="preserve"> </w:t>
      </w:r>
      <w:r w:rsidR="00465F37">
        <w:rPr>
          <w:rFonts w:hint="eastAsia"/>
          <w:lang w:eastAsia="ja-JP"/>
        </w:rPr>
        <w:t>agenda item</w:t>
      </w:r>
      <w:r w:rsidR="008466DA">
        <w:rPr>
          <w:lang w:eastAsia="ja-JP"/>
        </w:rPr>
        <w:t xml:space="preserve"> 10</w:t>
      </w:r>
      <w:r w:rsidR="00465F37">
        <w:rPr>
          <w:rFonts w:hint="eastAsia"/>
          <w:lang w:eastAsia="ja-JP"/>
        </w:rPr>
        <w:t xml:space="preserve"> </w:t>
      </w:r>
      <w:r w:rsidR="008466DA">
        <w:rPr>
          <w:lang w:eastAsia="ja-JP"/>
        </w:rPr>
        <w:t>of</w:t>
      </w:r>
      <w:r w:rsidR="00465F37">
        <w:rPr>
          <w:rFonts w:hint="eastAsia"/>
          <w:lang w:eastAsia="ja-JP"/>
        </w:rPr>
        <w:t xml:space="preserve"> WRC-23</w:t>
      </w:r>
      <w:r w:rsidR="000663CD">
        <w:rPr>
          <w:lang w:eastAsia="ja-JP"/>
        </w:rPr>
        <w:t>. IALA will cooperate with ITU</w:t>
      </w:r>
      <w:r w:rsidR="00465F37">
        <w:rPr>
          <w:rFonts w:hint="eastAsia"/>
          <w:lang w:eastAsia="ja-JP"/>
        </w:rPr>
        <w:t xml:space="preserve"> and </w:t>
      </w:r>
      <w:r w:rsidR="000663CD">
        <w:rPr>
          <w:lang w:eastAsia="ja-JP"/>
        </w:rPr>
        <w:t>will be</w:t>
      </w:r>
      <w:r w:rsidR="00465F37">
        <w:rPr>
          <w:rFonts w:hint="eastAsia"/>
          <w:lang w:eastAsia="ja-JP"/>
        </w:rPr>
        <w:t xml:space="preserve"> pleased to keep IMO and ITU informed of </w:t>
      </w:r>
      <w:r w:rsidR="00095391">
        <w:rPr>
          <w:rFonts w:hint="eastAsia"/>
          <w:lang w:eastAsia="ja-JP"/>
        </w:rPr>
        <w:t>the progress made.</w:t>
      </w:r>
      <w:r w:rsidR="00465F37">
        <w:rPr>
          <w:rFonts w:hint="eastAsia"/>
          <w:lang w:eastAsia="ja-JP"/>
        </w:rPr>
        <w:t xml:space="preserve"> </w:t>
      </w:r>
    </w:p>
    <w:p w:rsidR="00B141E8" w:rsidRDefault="00B141E8" w:rsidP="005561B2">
      <w:pPr>
        <w:tabs>
          <w:tab w:val="clear" w:pos="851"/>
        </w:tabs>
        <w:rPr>
          <w:lang w:eastAsia="ja-JP"/>
        </w:rPr>
      </w:pPr>
    </w:p>
    <w:p w:rsidR="00EF75E7" w:rsidRPr="00C12542" w:rsidRDefault="00C12542" w:rsidP="005561B2">
      <w:pPr>
        <w:tabs>
          <w:tab w:val="clear" w:pos="851"/>
        </w:tabs>
        <w:rPr>
          <w:b/>
          <w:lang w:eastAsia="ja-JP"/>
        </w:rPr>
      </w:pPr>
      <w:r>
        <w:rPr>
          <w:rFonts w:hint="eastAsia"/>
          <w:b/>
          <w:lang w:eastAsia="ja-JP"/>
        </w:rPr>
        <w:t>Action requested</w:t>
      </w:r>
    </w:p>
    <w:p w:rsidR="00EF75E7" w:rsidRDefault="00EF75E7" w:rsidP="005561B2">
      <w:pPr>
        <w:tabs>
          <w:tab w:val="clear" w:pos="851"/>
        </w:tabs>
        <w:rPr>
          <w:lang w:eastAsia="ja-JP"/>
        </w:rPr>
      </w:pPr>
    </w:p>
    <w:p w:rsidR="00095391" w:rsidRPr="00C12542" w:rsidRDefault="00095391" w:rsidP="005561B2">
      <w:pPr>
        <w:tabs>
          <w:tab w:val="clear" w:pos="851"/>
        </w:tabs>
        <w:rPr>
          <w:lang w:eastAsia="ja-JP"/>
        </w:rPr>
      </w:pPr>
      <w:r>
        <w:rPr>
          <w:rFonts w:hint="eastAsia"/>
          <w:lang w:eastAsia="ja-JP"/>
        </w:rPr>
        <w:t>1</w:t>
      </w:r>
      <w:r w:rsidR="00AD25D2">
        <w:rPr>
          <w:lang w:eastAsia="ja-JP"/>
        </w:rPr>
        <w:t>7</w:t>
      </w:r>
      <w:r>
        <w:rPr>
          <w:rFonts w:hint="eastAsia"/>
          <w:lang w:eastAsia="ja-JP"/>
        </w:rPr>
        <w:tab/>
        <w:t xml:space="preserve">The </w:t>
      </w:r>
      <w:r w:rsidR="00456683">
        <w:rPr>
          <w:lang w:eastAsia="ja-JP"/>
        </w:rPr>
        <w:t>Expert</w:t>
      </w:r>
      <w:r w:rsidR="000663CD">
        <w:rPr>
          <w:lang w:eastAsia="ja-JP"/>
        </w:rPr>
        <w:t>s</w:t>
      </w:r>
      <w:r w:rsidR="00456683">
        <w:rPr>
          <w:lang w:eastAsia="ja-JP"/>
        </w:rPr>
        <w:t xml:space="preserve"> </w:t>
      </w:r>
      <w:r>
        <w:rPr>
          <w:rFonts w:hint="eastAsia"/>
          <w:lang w:eastAsia="ja-JP"/>
        </w:rPr>
        <w:t xml:space="preserve">Group is </w:t>
      </w:r>
      <w:r w:rsidR="006F154E">
        <w:rPr>
          <w:lang w:eastAsia="ja-JP"/>
        </w:rPr>
        <w:t>invited</w:t>
      </w:r>
      <w:r w:rsidR="006F154E">
        <w:rPr>
          <w:rFonts w:hint="eastAsia"/>
          <w:lang w:eastAsia="ja-JP"/>
        </w:rPr>
        <w:t xml:space="preserve"> </w:t>
      </w:r>
      <w:r>
        <w:rPr>
          <w:rFonts w:hint="eastAsia"/>
          <w:lang w:eastAsia="ja-JP"/>
        </w:rPr>
        <w:t xml:space="preserve">to </w:t>
      </w:r>
      <w:r w:rsidR="006F154E">
        <w:rPr>
          <w:lang w:eastAsia="ja-JP"/>
        </w:rPr>
        <w:t>consider</w:t>
      </w:r>
      <w:r>
        <w:rPr>
          <w:rFonts w:hint="eastAsia"/>
          <w:lang w:eastAsia="ja-JP"/>
        </w:rPr>
        <w:t xml:space="preserve"> the information provided and </w:t>
      </w:r>
      <w:r w:rsidR="006F154E">
        <w:rPr>
          <w:lang w:eastAsia="ja-JP"/>
        </w:rPr>
        <w:t xml:space="preserve">take </w:t>
      </w:r>
      <w:r>
        <w:rPr>
          <w:rFonts w:hint="eastAsia"/>
          <w:lang w:eastAsia="ja-JP"/>
        </w:rPr>
        <w:t>act</w:t>
      </w:r>
      <w:r w:rsidR="006F154E">
        <w:rPr>
          <w:lang w:eastAsia="ja-JP"/>
        </w:rPr>
        <w:t>ion</w:t>
      </w:r>
      <w:r>
        <w:rPr>
          <w:rFonts w:hint="eastAsia"/>
          <w:lang w:eastAsia="ja-JP"/>
        </w:rPr>
        <w:t xml:space="preserve"> as appropriate.</w:t>
      </w:r>
    </w:p>
    <w:p w:rsidR="00465F37" w:rsidRPr="003F511D" w:rsidRDefault="00465F37" w:rsidP="005561B2">
      <w:pPr>
        <w:tabs>
          <w:tab w:val="clear" w:pos="851"/>
        </w:tabs>
        <w:rPr>
          <w:lang w:eastAsia="ja-JP"/>
        </w:rPr>
      </w:pPr>
    </w:p>
    <w:sectPr w:rsidR="00465F37" w:rsidRPr="003F511D" w:rsidSect="00360471">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152" w:rsidRDefault="00C12152">
      <w:r>
        <w:separator/>
      </w:r>
    </w:p>
  </w:endnote>
  <w:endnote w:type="continuationSeparator" w:id="0">
    <w:p w:rsidR="00C12152" w:rsidRDefault="00C1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911084">
    <w:pPr>
      <w:pStyle w:val="Fuzeile"/>
    </w:pPr>
  </w:p>
  <w:p w:rsidR="00911084" w:rsidRDefault="008A3357">
    <w:pPr>
      <w:pStyle w:val="Fuzeile"/>
      <w:pBdr>
        <w:top w:val="single" w:sz="4" w:space="1" w:color="auto"/>
      </w:pBdr>
      <w:rPr>
        <w:lang w:val="en-US"/>
      </w:rP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911084">
    <w:pPr>
      <w:pStyle w:val="Fuzeile"/>
    </w:pPr>
  </w:p>
  <w:p w:rsidR="00911084" w:rsidRDefault="008A3357">
    <w:pPr>
      <w:pStyle w:val="Fuzeile"/>
      <w:pBdr>
        <w:top w:val="single" w:sz="4" w:space="1" w:color="auto"/>
      </w:pBd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7BA" w:rsidRDefault="00A527BA" w:rsidP="00A527BA">
    <w:pPr>
      <w:pStyle w:val="Fuzeile"/>
    </w:pPr>
  </w:p>
  <w:p w:rsidR="00A527BA" w:rsidRDefault="008A3357" w:rsidP="00A527BA">
    <w:pPr>
      <w:pStyle w:val="Fuzeile"/>
      <w:pBdr>
        <w:top w:val="single" w:sz="4" w:space="1" w:color="auto"/>
      </w:pBdr>
    </w:pPr>
    <w:r>
      <w:fldChar w:fldCharType="begin"/>
    </w:r>
    <w:r w:rsidR="00592438">
      <w:instrText xml:space="preserve"> FILENAME \p </w:instrText>
    </w:r>
    <w:r>
      <w:fldChar w:fldCharType="separate"/>
    </w:r>
    <w:r w:rsidR="00A527BA">
      <w:rPr>
        <w:noProof/>
      </w:rPr>
      <w:t>Document2</w:t>
    </w:r>
    <w:r>
      <w:rPr>
        <w:noProof/>
      </w:rPr>
      <w:fldChar w:fldCharType="end"/>
    </w:r>
  </w:p>
  <w:p w:rsidR="00911084" w:rsidRDefault="00CA1E1C">
    <w:pPr>
      <w:pStyle w:val="Fuzeile"/>
      <w:pBdr>
        <w:top w:val="single" w:sz="4" w:space="1" w:color="auto"/>
      </w:pBdr>
      <w:jc w:val="right"/>
      <w:rPr>
        <w:lang w:val="en-US"/>
      </w:rPr>
    </w:pPr>
    <w:r>
      <w:rPr>
        <w:noProof/>
        <w:lang w:val="de-DE" w:eastAsia="de-DE"/>
      </w:rPr>
      <w:drawing>
        <wp:inline distT="0" distB="0" distL="0" distR="0">
          <wp:extent cx="1861200" cy="608400"/>
          <wp:effectExtent l="0" t="0" r="5715" b="127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O_EmpoweringWomen_English_Colour_CMYK.jpg"/>
                  <pic:cNvPicPr/>
                </pic:nvPicPr>
                <pic:blipFill rotWithShape="1">
                  <a:blip r:embed="rId1" cstate="print">
                    <a:extLst>
                      <a:ext uri="{28A0092B-C50C-407E-A947-70E740481C1C}">
                        <a14:useLocalDpi xmlns:a14="http://schemas.microsoft.com/office/drawing/2010/main" val="0"/>
                      </a:ext>
                    </a:extLst>
                  </a:blip>
                  <a:srcRect l="-1" t="1" r="211" b="1925"/>
                  <a:stretch/>
                </pic:blipFill>
                <pic:spPr bwMode="auto">
                  <a:xfrm>
                    <a:off x="0" y="0"/>
                    <a:ext cx="1861200" cy="6084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152" w:rsidRDefault="00C12152">
      <w:r>
        <w:separator/>
      </w:r>
    </w:p>
  </w:footnote>
  <w:footnote w:type="continuationSeparator" w:id="0">
    <w:p w:rsidR="00C12152" w:rsidRDefault="00C12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A1033D">
    <w:pPr>
      <w:pStyle w:val="Kopfzeile"/>
    </w:pPr>
    <w:bookmarkStart w:id="14" w:name="symbol_headFootEven"/>
    <w:bookmarkEnd w:id="14"/>
    <w:r>
      <w:rPr>
        <w:noProof/>
      </w:rPr>
      <w:pict w14:anchorId="02561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2" o:spid="_x0000_s2050"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Kopfzeile"/>
      <w:pBdr>
        <w:bottom w:val="single" w:sz="4" w:space="1" w:color="auto"/>
      </w:pBdr>
      <w:rPr>
        <w:rStyle w:val="Seitenzahl"/>
      </w:rPr>
    </w:pPr>
    <w:r>
      <w:t xml:space="preserve">Page </w:t>
    </w:r>
    <w:r w:rsidR="008A3357">
      <w:rPr>
        <w:rStyle w:val="Seitenzahl"/>
      </w:rPr>
      <w:fldChar w:fldCharType="begin"/>
    </w:r>
    <w:r>
      <w:rPr>
        <w:rStyle w:val="Seitenzahl"/>
      </w:rPr>
      <w:instrText xml:space="preserve"> PAGE </w:instrText>
    </w:r>
    <w:r w:rsidR="008A3357">
      <w:rPr>
        <w:rStyle w:val="Seitenzahl"/>
      </w:rPr>
      <w:fldChar w:fldCharType="separate"/>
    </w:r>
    <w:r w:rsidR="00A1033D">
      <w:rPr>
        <w:rStyle w:val="Seitenzahl"/>
        <w:noProof/>
      </w:rPr>
      <w:t>2</w:t>
    </w:r>
    <w:r w:rsidR="008A3357">
      <w:rPr>
        <w:rStyle w:val="Seitenzahl"/>
      </w:rPr>
      <w:fldChar w:fldCharType="end"/>
    </w:r>
  </w:p>
  <w:p w:rsidR="00911084" w:rsidRDefault="009110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84" w:rsidRDefault="00A1033D">
    <w:pPr>
      <w:pStyle w:val="Kopfzeile"/>
      <w:jc w:val="right"/>
    </w:pPr>
    <w:bookmarkStart w:id="15" w:name="symbol_headFoot"/>
    <w:bookmarkEnd w:id="15"/>
    <w:r>
      <w:rPr>
        <w:noProof/>
      </w:rPr>
      <w:pict w14:anchorId="00625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3" o:spid="_x0000_s205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Kopfzeile"/>
      <w:pBdr>
        <w:bottom w:val="single" w:sz="4" w:space="1" w:color="auto"/>
      </w:pBdr>
      <w:jc w:val="right"/>
      <w:rPr>
        <w:rStyle w:val="Seitenzahl"/>
      </w:rPr>
    </w:pPr>
    <w:r>
      <w:t xml:space="preserve">Page </w:t>
    </w:r>
    <w:r w:rsidR="008A3357">
      <w:rPr>
        <w:rStyle w:val="Seitenzahl"/>
      </w:rPr>
      <w:fldChar w:fldCharType="begin"/>
    </w:r>
    <w:r>
      <w:rPr>
        <w:rStyle w:val="Seitenzahl"/>
      </w:rPr>
      <w:instrText xml:space="preserve"> PAGE </w:instrText>
    </w:r>
    <w:r w:rsidR="008A3357">
      <w:rPr>
        <w:rStyle w:val="Seitenzahl"/>
      </w:rPr>
      <w:fldChar w:fldCharType="separate"/>
    </w:r>
    <w:r w:rsidR="00A1033D">
      <w:rPr>
        <w:rStyle w:val="Seitenzahl"/>
        <w:noProof/>
      </w:rPr>
      <w:t>3</w:t>
    </w:r>
    <w:r w:rsidR="008A3357">
      <w:rPr>
        <w:rStyle w:val="Seitenzahl"/>
      </w:rPr>
      <w:fldChar w:fldCharType="end"/>
    </w:r>
  </w:p>
  <w:p w:rsidR="00911084" w:rsidRDefault="0091108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1D7" w:rsidRDefault="00A1033D">
    <w:pPr>
      <w:pStyle w:val="Kopfzeile"/>
    </w:pPr>
    <w:r>
      <w:rPr>
        <w:noProof/>
      </w:rPr>
      <w:pict w14:anchorId="75B8C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1" o:spid="_x0000_s2049"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406FC8"/>
    <w:multiLevelType w:val="hybridMultilevel"/>
    <w:tmpl w:val="397CA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AC1F24"/>
    <w:multiLevelType w:val="hybridMultilevel"/>
    <w:tmpl w:val="914C7880"/>
    <w:lvl w:ilvl="0" w:tplc="690C53F0">
      <w:numFmt w:val="bullet"/>
      <w:lvlText w:val="-"/>
      <w:lvlJc w:val="left"/>
      <w:pPr>
        <w:ind w:left="1211" w:hanging="360"/>
      </w:pPr>
      <w:rPr>
        <w:rFonts w:ascii="Calibri" w:eastAsiaTheme="minorHAnsi" w:hAnsi="Calibri" w:cs="Calibri"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9" w15:restartNumberingAfterBreak="0">
    <w:nsid w:val="59E90500"/>
    <w:multiLevelType w:val="hybridMultilevel"/>
    <w:tmpl w:val="05E8FF66"/>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0" w15:restartNumberingAfterBreak="0">
    <w:nsid w:val="5CD513BB"/>
    <w:multiLevelType w:val="hybridMultilevel"/>
    <w:tmpl w:val="566C0684"/>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1" w15:restartNumberingAfterBreak="0">
    <w:nsid w:val="69844BB2"/>
    <w:multiLevelType w:val="hybridMultilevel"/>
    <w:tmpl w:val="CF2EC6CC"/>
    <w:lvl w:ilvl="0" w:tplc="A2D8DB34">
      <w:start w:val="1"/>
      <w:numFmt w:val="bullet"/>
      <w:lvlText w:val="-"/>
      <w:lvlJc w:val="left"/>
      <w:pPr>
        <w:ind w:left="1300" w:hanging="420"/>
      </w:pPr>
      <w:rPr>
        <w:rFonts w:ascii="Arial Unicode MS" w:eastAsia="Arial Unicode MS" w:hAnsi="Arial Unicode MS" w:hint="eastAsia"/>
      </w:rPr>
    </w:lvl>
    <w:lvl w:ilvl="1" w:tplc="1A462D80">
      <w:start w:val="1"/>
      <w:numFmt w:val="bullet"/>
      <w:lvlText w:val="­"/>
      <w:lvlJc w:val="left"/>
      <w:pPr>
        <w:ind w:left="840" w:hanging="420"/>
      </w:pPr>
      <w:rPr>
        <w:rFonts w:ascii="Arial" w:hAnsi="Arial"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2375B3"/>
    <w:multiLevelType w:val="hybridMultilevel"/>
    <w:tmpl w:val="684496FE"/>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3" w15:restartNumberingAfterBreak="0">
    <w:nsid w:val="775843BC"/>
    <w:multiLevelType w:val="hybridMultilevel"/>
    <w:tmpl w:val="4DF66EF6"/>
    <w:lvl w:ilvl="0" w:tplc="539C0CA4">
      <w:start w:val="4"/>
      <w:numFmt w:val="bullet"/>
      <w:lvlText w:val="-"/>
      <w:lvlJc w:val="left"/>
      <w:pPr>
        <w:ind w:left="1211" w:hanging="360"/>
      </w:pPr>
      <w:rPr>
        <w:rFonts w:ascii="Arial" w:eastAsiaTheme="minorEastAsia"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11"/>
  </w:num>
  <w:num w:numId="9">
    <w:abstractNumId w:val="12"/>
  </w:num>
  <w:num w:numId="10">
    <w:abstractNumId w:val="9"/>
  </w:num>
  <w:num w:numId="11">
    <w:abstractNumId w:val="10"/>
  </w:num>
  <w:num w:numId="12">
    <w:abstractNumId w:val="7"/>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nnexno" w:val="1"/>
    <w:docVar w:name="AskAnnex" w:val="Yes"/>
    <w:docVar w:name="Div" w:val="  "/>
    <w:docVar w:name="SingleAnnex" w:val="No"/>
    <w:docVar w:name="Symbol" w:val="789"/>
  </w:docVars>
  <w:rsids>
    <w:rsidRoot w:val="00911084"/>
    <w:rsid w:val="00017291"/>
    <w:rsid w:val="0003349A"/>
    <w:rsid w:val="000663CD"/>
    <w:rsid w:val="00091B36"/>
    <w:rsid w:val="000933AE"/>
    <w:rsid w:val="00095391"/>
    <w:rsid w:val="00104630"/>
    <w:rsid w:val="00116F1F"/>
    <w:rsid w:val="00135842"/>
    <w:rsid w:val="00194D2E"/>
    <w:rsid w:val="001B4FEB"/>
    <w:rsid w:val="001C42BF"/>
    <w:rsid w:val="001D4BF6"/>
    <w:rsid w:val="00202603"/>
    <w:rsid w:val="00245368"/>
    <w:rsid w:val="00260C76"/>
    <w:rsid w:val="002B3D0C"/>
    <w:rsid w:val="003071F7"/>
    <w:rsid w:val="00360471"/>
    <w:rsid w:val="003660D6"/>
    <w:rsid w:val="00372DAD"/>
    <w:rsid w:val="00380720"/>
    <w:rsid w:val="00393A1D"/>
    <w:rsid w:val="003A5260"/>
    <w:rsid w:val="003B5D2B"/>
    <w:rsid w:val="003B6C83"/>
    <w:rsid w:val="003F511D"/>
    <w:rsid w:val="00425725"/>
    <w:rsid w:val="00456683"/>
    <w:rsid w:val="00463456"/>
    <w:rsid w:val="00465F37"/>
    <w:rsid w:val="00474E6F"/>
    <w:rsid w:val="00482D09"/>
    <w:rsid w:val="00486ECD"/>
    <w:rsid w:val="004A0BE2"/>
    <w:rsid w:val="004E07BC"/>
    <w:rsid w:val="004F22D0"/>
    <w:rsid w:val="00531C8A"/>
    <w:rsid w:val="0054615A"/>
    <w:rsid w:val="00555BF0"/>
    <w:rsid w:val="005561B2"/>
    <w:rsid w:val="005729BE"/>
    <w:rsid w:val="00572AAC"/>
    <w:rsid w:val="00592438"/>
    <w:rsid w:val="005B3D5A"/>
    <w:rsid w:val="005C743F"/>
    <w:rsid w:val="005D58CB"/>
    <w:rsid w:val="00621BB1"/>
    <w:rsid w:val="0063052A"/>
    <w:rsid w:val="00641B29"/>
    <w:rsid w:val="00667F87"/>
    <w:rsid w:val="006B4C0F"/>
    <w:rsid w:val="006E0C17"/>
    <w:rsid w:val="006F154E"/>
    <w:rsid w:val="00717CFE"/>
    <w:rsid w:val="00720BA4"/>
    <w:rsid w:val="0078598B"/>
    <w:rsid w:val="007C2779"/>
    <w:rsid w:val="007D14C9"/>
    <w:rsid w:val="007F161B"/>
    <w:rsid w:val="008466DA"/>
    <w:rsid w:val="008603A2"/>
    <w:rsid w:val="008A3357"/>
    <w:rsid w:val="008A33C5"/>
    <w:rsid w:val="00911084"/>
    <w:rsid w:val="00933E8A"/>
    <w:rsid w:val="009431D7"/>
    <w:rsid w:val="009517D7"/>
    <w:rsid w:val="009D4F30"/>
    <w:rsid w:val="009E52A5"/>
    <w:rsid w:val="00A1033D"/>
    <w:rsid w:val="00A150F7"/>
    <w:rsid w:val="00A34D81"/>
    <w:rsid w:val="00A527BA"/>
    <w:rsid w:val="00AD25D2"/>
    <w:rsid w:val="00AF3742"/>
    <w:rsid w:val="00B0568D"/>
    <w:rsid w:val="00B141E8"/>
    <w:rsid w:val="00B317F4"/>
    <w:rsid w:val="00B4661E"/>
    <w:rsid w:val="00B60AEA"/>
    <w:rsid w:val="00BE10C2"/>
    <w:rsid w:val="00C03C21"/>
    <w:rsid w:val="00C12152"/>
    <w:rsid w:val="00C12542"/>
    <w:rsid w:val="00C1303D"/>
    <w:rsid w:val="00C23D42"/>
    <w:rsid w:val="00C6182A"/>
    <w:rsid w:val="00C97F51"/>
    <w:rsid w:val="00CA1E1C"/>
    <w:rsid w:val="00CA2F9F"/>
    <w:rsid w:val="00CC0EA0"/>
    <w:rsid w:val="00CC53DC"/>
    <w:rsid w:val="00CC5CF4"/>
    <w:rsid w:val="00CC7FC1"/>
    <w:rsid w:val="00CF014C"/>
    <w:rsid w:val="00CF201E"/>
    <w:rsid w:val="00D10E97"/>
    <w:rsid w:val="00D1718F"/>
    <w:rsid w:val="00DC1A91"/>
    <w:rsid w:val="00DC2D16"/>
    <w:rsid w:val="00DC42E0"/>
    <w:rsid w:val="00DD2A0C"/>
    <w:rsid w:val="00E02DD4"/>
    <w:rsid w:val="00E7770C"/>
    <w:rsid w:val="00EB77E1"/>
    <w:rsid w:val="00EE4040"/>
    <w:rsid w:val="00EF75E7"/>
    <w:rsid w:val="00F41638"/>
    <w:rsid w:val="00F673C6"/>
    <w:rsid w:val="00FA2D59"/>
    <w:rsid w:val="00FD7381"/>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5:docId w15:val="{E625F01D-68C7-4F8A-9DD4-BFC4571F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720"/>
    <w:pPr>
      <w:tabs>
        <w:tab w:val="left" w:pos="851"/>
      </w:tabs>
      <w:jc w:val="both"/>
    </w:pPr>
    <w:rPr>
      <w:rFonts w:ascii="Arial" w:hAnsi="Arial"/>
      <w:sz w:val="22"/>
      <w:lang w:eastAsia="en-US"/>
    </w:rPr>
  </w:style>
  <w:style w:type="paragraph" w:styleId="berschrift1">
    <w:name w:val="heading 1"/>
    <w:basedOn w:val="Standard"/>
    <w:next w:val="Standard"/>
    <w:qFormat/>
    <w:rsid w:val="00360471"/>
    <w:pPr>
      <w:outlineLvl w:val="0"/>
    </w:pPr>
  </w:style>
  <w:style w:type="paragraph" w:styleId="berschrift2">
    <w:name w:val="heading 2"/>
    <w:basedOn w:val="Standard"/>
    <w:next w:val="Standard"/>
    <w:qFormat/>
    <w:rsid w:val="00360471"/>
    <w:pPr>
      <w:outlineLvl w:val="1"/>
    </w:pPr>
  </w:style>
  <w:style w:type="paragraph" w:styleId="berschrift3">
    <w:name w:val="heading 3"/>
    <w:basedOn w:val="Standard"/>
    <w:next w:val="Standard"/>
    <w:qFormat/>
    <w:rsid w:val="00360471"/>
    <w:pPr>
      <w:outlineLvl w:val="2"/>
    </w:pPr>
  </w:style>
  <w:style w:type="paragraph" w:styleId="berschrift4">
    <w:name w:val="heading 4"/>
    <w:basedOn w:val="Standard"/>
    <w:next w:val="Standard"/>
    <w:qFormat/>
    <w:rsid w:val="00360471"/>
    <w:p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360471"/>
  </w:style>
  <w:style w:type="paragraph" w:styleId="Kopfzeile">
    <w:name w:val="header"/>
    <w:basedOn w:val="Standard"/>
    <w:rsid w:val="00360471"/>
    <w:pPr>
      <w:tabs>
        <w:tab w:val="center" w:pos="4153"/>
        <w:tab w:val="right" w:pos="8306"/>
      </w:tabs>
    </w:pPr>
  </w:style>
  <w:style w:type="paragraph" w:styleId="Fuzeile">
    <w:name w:val="footer"/>
    <w:basedOn w:val="Standard"/>
    <w:rsid w:val="00360471"/>
    <w:pPr>
      <w:tabs>
        <w:tab w:val="center" w:pos="4153"/>
        <w:tab w:val="right" w:pos="8306"/>
      </w:tabs>
    </w:pPr>
    <w:rPr>
      <w:sz w:val="18"/>
    </w:rPr>
  </w:style>
  <w:style w:type="table" w:styleId="Tabellenraster">
    <w:name w:val="Table Grid"/>
    <w:basedOn w:val="NormaleTabelle"/>
    <w:rsid w:val="00360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Standard"/>
    <w:rsid w:val="00360471"/>
    <w:pPr>
      <w:jc w:val="left"/>
    </w:pPr>
    <w:rPr>
      <w:szCs w:val="24"/>
      <w:lang w:val="pl-PL" w:eastAsia="pl-PL"/>
    </w:rPr>
  </w:style>
  <w:style w:type="character" w:styleId="Funotenzeichen">
    <w:name w:val="footnote reference"/>
    <w:rsid w:val="00360471"/>
    <w:rPr>
      <w:rFonts w:ascii="Arial" w:hAnsi="Arial"/>
      <w:sz w:val="22"/>
      <w:vertAlign w:val="superscript"/>
    </w:rPr>
  </w:style>
  <w:style w:type="paragraph" w:styleId="Funotentext">
    <w:name w:val="footnote text"/>
    <w:basedOn w:val="Standard"/>
    <w:rsid w:val="00360471"/>
    <w:pPr>
      <w:tabs>
        <w:tab w:val="clear" w:pos="851"/>
        <w:tab w:val="left" w:pos="567"/>
      </w:tabs>
      <w:ind w:left="567" w:hanging="567"/>
    </w:pPr>
    <w:rPr>
      <w:sz w:val="18"/>
    </w:rPr>
  </w:style>
  <w:style w:type="paragraph" w:styleId="Sprechblasentext">
    <w:name w:val="Balloon Text"/>
    <w:basedOn w:val="Standard"/>
    <w:link w:val="SprechblasentextZchn"/>
    <w:uiPriority w:val="99"/>
    <w:semiHidden/>
    <w:unhideWhenUsed/>
    <w:rsid w:val="009E52A5"/>
    <w:rPr>
      <w:rFonts w:asciiTheme="majorHAnsi" w:eastAsiaTheme="majorEastAsia" w:hAnsiTheme="majorHAnsi" w:cstheme="majorBidi"/>
      <w:sz w:val="18"/>
      <w:szCs w:val="18"/>
    </w:rPr>
  </w:style>
  <w:style w:type="character" w:customStyle="1" w:styleId="SprechblasentextZchn">
    <w:name w:val="Sprechblasentext Zchn"/>
    <w:basedOn w:val="Absatz-Standardschriftart"/>
    <w:link w:val="Sprechblasentext"/>
    <w:uiPriority w:val="99"/>
    <w:semiHidden/>
    <w:rsid w:val="009E52A5"/>
    <w:rPr>
      <w:rFonts w:asciiTheme="majorHAnsi" w:eastAsiaTheme="majorEastAsia" w:hAnsiTheme="majorHAnsi" w:cstheme="majorBidi"/>
      <w:sz w:val="18"/>
      <w:szCs w:val="18"/>
      <w:lang w:eastAsia="en-US"/>
    </w:rPr>
  </w:style>
  <w:style w:type="paragraph" w:styleId="Listenabsatz">
    <w:name w:val="List Paragraph"/>
    <w:basedOn w:val="Standard"/>
    <w:uiPriority w:val="34"/>
    <w:qFormat/>
    <w:rsid w:val="00720BA4"/>
    <w:pPr>
      <w:ind w:leftChars="400" w:left="840"/>
    </w:pPr>
  </w:style>
  <w:style w:type="paragraph" w:customStyle="1" w:styleId="Default">
    <w:name w:val="Default"/>
    <w:rsid w:val="00C6182A"/>
    <w:pPr>
      <w:widowControl w:val="0"/>
      <w:autoSpaceDE w:val="0"/>
      <w:autoSpaceDN w:val="0"/>
      <w:adjustRightInd w:val="0"/>
    </w:pPr>
    <w:rPr>
      <w:rFonts w:ascii="Arial" w:hAnsi="Arial" w:cs="Arial"/>
      <w:color w:val="000000"/>
      <w:sz w:val="24"/>
      <w:szCs w:val="24"/>
      <w:lang w:val="en-US"/>
    </w:rPr>
  </w:style>
  <w:style w:type="character" w:styleId="Kommentarzeichen">
    <w:name w:val="annotation reference"/>
    <w:basedOn w:val="Absatz-Standardschriftart"/>
    <w:uiPriority w:val="99"/>
    <w:semiHidden/>
    <w:unhideWhenUsed/>
    <w:rsid w:val="00C97F51"/>
    <w:rPr>
      <w:sz w:val="16"/>
      <w:szCs w:val="16"/>
    </w:rPr>
  </w:style>
  <w:style w:type="paragraph" w:styleId="Kommentartext">
    <w:name w:val="annotation text"/>
    <w:basedOn w:val="Standard"/>
    <w:link w:val="KommentartextZchn"/>
    <w:uiPriority w:val="99"/>
    <w:semiHidden/>
    <w:unhideWhenUsed/>
    <w:rsid w:val="00C97F51"/>
    <w:rPr>
      <w:sz w:val="20"/>
    </w:rPr>
  </w:style>
  <w:style w:type="character" w:customStyle="1" w:styleId="KommentartextZchn">
    <w:name w:val="Kommentartext Zchn"/>
    <w:basedOn w:val="Absatz-Standardschriftart"/>
    <w:link w:val="Kommentartext"/>
    <w:uiPriority w:val="99"/>
    <w:semiHidden/>
    <w:rsid w:val="00C97F5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C97F51"/>
    <w:rPr>
      <w:b/>
      <w:bCs/>
    </w:rPr>
  </w:style>
  <w:style w:type="character" w:customStyle="1" w:styleId="KommentarthemaZchn">
    <w:name w:val="Kommentarthema Zchn"/>
    <w:basedOn w:val="KommentartextZchn"/>
    <w:link w:val="Kommentarthema"/>
    <w:uiPriority w:val="99"/>
    <w:semiHidden/>
    <w:rsid w:val="00C97F51"/>
    <w:rPr>
      <w:rFonts w:ascii="Arial" w:hAnsi="Arial"/>
      <w:b/>
      <w:bCs/>
      <w:lang w:eastAsia="en-US"/>
    </w:rPr>
  </w:style>
  <w:style w:type="paragraph" w:styleId="NurText">
    <w:name w:val="Plain Text"/>
    <w:basedOn w:val="Standard"/>
    <w:link w:val="NurTextZchn"/>
    <w:uiPriority w:val="99"/>
    <w:semiHidden/>
    <w:unhideWhenUsed/>
    <w:rsid w:val="00C23D42"/>
    <w:pPr>
      <w:tabs>
        <w:tab w:val="clear" w:pos="851"/>
      </w:tabs>
      <w:jc w:val="left"/>
    </w:pPr>
    <w:rPr>
      <w:rFonts w:ascii="Calibri" w:eastAsiaTheme="minorHAnsi" w:hAnsi="Calibri" w:cstheme="minorBidi"/>
      <w:szCs w:val="21"/>
      <w:lang w:val="de-DE"/>
    </w:rPr>
  </w:style>
  <w:style w:type="character" w:customStyle="1" w:styleId="NurTextZchn">
    <w:name w:val="Nur Text Zchn"/>
    <w:basedOn w:val="Absatz-Standardschriftart"/>
    <w:link w:val="NurText"/>
    <w:uiPriority w:val="99"/>
    <w:semiHidden/>
    <w:rsid w:val="00C23D42"/>
    <w:rPr>
      <w:rFonts w:ascii="Calibri" w:eastAsiaTheme="minorHAnsi" w:hAnsi="Calibri" w:cstheme="minorBidi"/>
      <w:sz w:val="22"/>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word%20xp\English\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5A692B-768C-4EB3-80AB-D37FB42C6322}"/>
</file>

<file path=customXml/itemProps4.xml><?xml version="1.0" encoding="utf-8"?>
<ds:datastoreItem xmlns:ds="http://schemas.openxmlformats.org/officeDocument/2006/customXml" ds:itemID="{8F89F644-3A9A-4506-8904-8387A31F5232}">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eaeb6e44-4365-46b5-8242-0e78ea891166"/>
    <ds:schemaRef ds:uri="ff111082-ee85-4580-901d-b2f6bc5dfa2c"/>
    <ds:schemaRef ds:uri="http://purl.org/dc/elements/1.1/"/>
    <ds:schemaRef ds:uri="http://schemas.microsoft.com/office/2006/metadata/properties"/>
    <ds:schemaRef ds:uri="FF111082-EE85-4580-901D-B2F6BC5DFA2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Meeting (E).dotm</Template>
  <TotalTime>0</TotalTime>
  <Pages>3</Pages>
  <Words>1117</Words>
  <Characters>6403</Characters>
  <Application>Microsoft Office Word</Application>
  <DocSecurity>0</DocSecurity>
  <Lines>53</Lines>
  <Paragraphs>15</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JCG-MTD</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BPinero</dc:creator>
  <cp:lastModifiedBy>Hoppe, Michael</cp:lastModifiedBy>
  <cp:revision>2</cp:revision>
  <cp:lastPrinted>1999-10-18T12:44:00Z</cp:lastPrinted>
  <dcterms:created xsi:type="dcterms:W3CDTF">2022-09-15T18:25:00Z</dcterms:created>
  <dcterms:modified xsi:type="dcterms:W3CDTF">2022-09-15T18:25:00Z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